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465" w:rsidRDefault="00A74465">
      <w:pPr>
        <w:adjustRightInd w:val="0"/>
        <w:snapToGrid w:val="0"/>
        <w:jc w:val="center"/>
        <w:rPr>
          <w:rFonts w:ascii="彩虹粗仿宋" w:eastAsia="彩虹粗仿宋" w:hAnsi="宋体" w:cs="Arial"/>
          <w:sz w:val="24"/>
        </w:rPr>
      </w:pPr>
    </w:p>
    <w:p w:rsidR="00A74465" w:rsidRDefault="00A74465">
      <w:pPr>
        <w:adjustRightInd w:val="0"/>
        <w:snapToGrid w:val="0"/>
        <w:jc w:val="center"/>
        <w:rPr>
          <w:rFonts w:ascii="彩虹粗仿宋" w:eastAsia="彩虹粗仿宋" w:hAnsi="宋体" w:cs="Arial"/>
          <w:sz w:val="24"/>
        </w:rPr>
      </w:pPr>
    </w:p>
    <w:p w:rsidR="00A74465" w:rsidRDefault="00A74465">
      <w:pPr>
        <w:adjustRightInd w:val="0"/>
        <w:snapToGrid w:val="0"/>
        <w:jc w:val="center"/>
        <w:rPr>
          <w:rFonts w:ascii="彩虹粗仿宋" w:eastAsia="彩虹粗仿宋" w:hAnsi="宋体" w:cs="Arial"/>
          <w:sz w:val="24"/>
        </w:rPr>
      </w:pPr>
    </w:p>
    <w:p w:rsidR="00A74465" w:rsidRDefault="00A74465">
      <w:pPr>
        <w:adjustRightInd w:val="0"/>
        <w:snapToGrid w:val="0"/>
        <w:jc w:val="center"/>
        <w:rPr>
          <w:rFonts w:ascii="彩虹粗仿宋" w:eastAsia="彩虹粗仿宋" w:hAnsi="宋体" w:cs="Arial"/>
          <w:sz w:val="24"/>
        </w:rPr>
      </w:pPr>
    </w:p>
    <w:p w:rsidR="00A74465" w:rsidRDefault="00A74465">
      <w:pPr>
        <w:adjustRightInd w:val="0"/>
        <w:snapToGrid w:val="0"/>
        <w:jc w:val="center"/>
        <w:rPr>
          <w:rFonts w:ascii="彩虹粗仿宋" w:eastAsia="彩虹粗仿宋" w:hAnsi="宋体" w:cs="Arial"/>
          <w:sz w:val="24"/>
        </w:rPr>
      </w:pPr>
    </w:p>
    <w:p w:rsidR="00A74465" w:rsidRDefault="00A74465">
      <w:pPr>
        <w:adjustRightInd w:val="0"/>
        <w:snapToGrid w:val="0"/>
        <w:jc w:val="center"/>
        <w:rPr>
          <w:rFonts w:ascii="彩虹粗仿宋" w:eastAsia="彩虹粗仿宋" w:hAnsi="宋体" w:cs="Arial"/>
          <w:sz w:val="24"/>
        </w:rPr>
      </w:pPr>
    </w:p>
    <w:p w:rsidR="00A74465" w:rsidRDefault="00A74465">
      <w:pPr>
        <w:adjustRightInd w:val="0"/>
        <w:snapToGrid w:val="0"/>
        <w:jc w:val="center"/>
        <w:rPr>
          <w:rFonts w:ascii="彩虹粗仿宋" w:eastAsia="彩虹粗仿宋" w:hAnsi="宋体" w:cs="Arial"/>
          <w:sz w:val="24"/>
        </w:rPr>
      </w:pPr>
    </w:p>
    <w:p w:rsidR="00A74465" w:rsidRDefault="00A74465">
      <w:pPr>
        <w:adjustRightInd w:val="0"/>
        <w:snapToGrid w:val="0"/>
        <w:jc w:val="center"/>
        <w:rPr>
          <w:rFonts w:ascii="彩虹粗仿宋" w:eastAsia="彩虹粗仿宋" w:hAnsi="宋体" w:cs="Arial"/>
          <w:sz w:val="24"/>
        </w:rPr>
      </w:pPr>
    </w:p>
    <w:p w:rsidR="00A74465" w:rsidRDefault="00A74465">
      <w:pPr>
        <w:adjustRightInd w:val="0"/>
        <w:snapToGrid w:val="0"/>
        <w:jc w:val="center"/>
        <w:rPr>
          <w:rFonts w:ascii="彩虹粗仿宋" w:eastAsia="彩虹粗仿宋" w:hAnsi="宋体" w:cs="Arial"/>
          <w:sz w:val="24"/>
        </w:rPr>
      </w:pPr>
    </w:p>
    <w:p w:rsidR="00A74465" w:rsidRDefault="00A74465">
      <w:pPr>
        <w:adjustRightInd w:val="0"/>
        <w:snapToGrid w:val="0"/>
        <w:jc w:val="center"/>
        <w:rPr>
          <w:rFonts w:ascii="彩虹粗仿宋" w:eastAsia="彩虹粗仿宋" w:hAnsi="宋体" w:cs="Arial"/>
          <w:sz w:val="24"/>
        </w:rPr>
      </w:pPr>
    </w:p>
    <w:p w:rsidR="00A74465" w:rsidRDefault="00A74465">
      <w:pPr>
        <w:adjustRightInd w:val="0"/>
        <w:snapToGrid w:val="0"/>
        <w:jc w:val="center"/>
        <w:rPr>
          <w:rFonts w:ascii="彩虹粗仿宋" w:eastAsia="彩虹粗仿宋" w:hAnsi="宋体" w:cs="Arial"/>
          <w:sz w:val="24"/>
        </w:rPr>
      </w:pPr>
    </w:p>
    <w:p w:rsidR="00A74465" w:rsidRDefault="002379B6">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华商汇享多元配置3个月持有期混合型</w:t>
      </w:r>
    </w:p>
    <w:p w:rsidR="00A74465" w:rsidRDefault="002379B6">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基金中基金(FOF)托管协议</w:t>
      </w:r>
    </w:p>
    <w:p w:rsidR="00A74465" w:rsidRDefault="00A74465">
      <w:pPr>
        <w:adjustRightInd w:val="0"/>
        <w:snapToGrid w:val="0"/>
        <w:jc w:val="center"/>
        <w:outlineLvl w:val="0"/>
        <w:rPr>
          <w:rFonts w:ascii="彩虹粗仿宋" w:eastAsia="彩虹粗仿宋" w:hAnsi="宋体" w:cs="Arial"/>
          <w:sz w:val="24"/>
        </w:rPr>
      </w:pPr>
    </w:p>
    <w:p w:rsidR="00A74465" w:rsidRDefault="00A74465">
      <w:pPr>
        <w:adjustRightInd w:val="0"/>
        <w:snapToGrid w:val="0"/>
        <w:jc w:val="center"/>
        <w:outlineLvl w:val="0"/>
        <w:rPr>
          <w:rFonts w:ascii="彩虹粗仿宋" w:eastAsia="彩虹粗仿宋" w:hAnsi="宋体" w:cs="Arial"/>
          <w:sz w:val="24"/>
        </w:rPr>
      </w:pPr>
    </w:p>
    <w:p w:rsidR="00A74465" w:rsidRDefault="00A74465">
      <w:pPr>
        <w:adjustRightInd w:val="0"/>
        <w:snapToGrid w:val="0"/>
        <w:jc w:val="center"/>
        <w:outlineLvl w:val="0"/>
        <w:rPr>
          <w:rFonts w:ascii="彩虹粗仿宋" w:eastAsia="彩虹粗仿宋" w:hAnsi="宋体" w:cs="Arial"/>
          <w:sz w:val="24"/>
        </w:rPr>
      </w:pPr>
    </w:p>
    <w:p w:rsidR="00A74465" w:rsidRDefault="00A74465">
      <w:pPr>
        <w:adjustRightInd w:val="0"/>
        <w:snapToGrid w:val="0"/>
        <w:jc w:val="center"/>
        <w:outlineLvl w:val="0"/>
        <w:rPr>
          <w:rFonts w:ascii="彩虹粗仿宋" w:eastAsia="彩虹粗仿宋" w:hAnsi="宋体" w:cs="Arial"/>
          <w:sz w:val="24"/>
        </w:rPr>
      </w:pPr>
    </w:p>
    <w:p w:rsidR="00A74465" w:rsidRDefault="00A74465">
      <w:pPr>
        <w:adjustRightInd w:val="0"/>
        <w:snapToGrid w:val="0"/>
        <w:jc w:val="center"/>
        <w:outlineLvl w:val="0"/>
        <w:rPr>
          <w:rFonts w:ascii="彩虹粗仿宋" w:eastAsia="彩虹粗仿宋" w:hAnsi="宋体" w:cs="Arial"/>
          <w:sz w:val="24"/>
        </w:rPr>
      </w:pPr>
    </w:p>
    <w:p w:rsidR="00A74465" w:rsidRDefault="00A74465">
      <w:pPr>
        <w:adjustRightInd w:val="0"/>
        <w:snapToGrid w:val="0"/>
        <w:jc w:val="center"/>
        <w:outlineLvl w:val="0"/>
        <w:rPr>
          <w:rFonts w:ascii="彩虹粗仿宋" w:eastAsia="彩虹粗仿宋" w:hAnsi="宋体" w:cs="Arial"/>
          <w:sz w:val="24"/>
        </w:rPr>
      </w:pPr>
    </w:p>
    <w:p w:rsidR="00A74465" w:rsidRDefault="00A74465">
      <w:pPr>
        <w:adjustRightInd w:val="0"/>
        <w:snapToGrid w:val="0"/>
        <w:jc w:val="center"/>
        <w:outlineLvl w:val="0"/>
        <w:rPr>
          <w:rFonts w:ascii="彩虹粗仿宋" w:eastAsia="彩虹粗仿宋" w:hAnsi="宋体" w:cs="Arial"/>
          <w:sz w:val="24"/>
        </w:rPr>
      </w:pPr>
    </w:p>
    <w:p w:rsidR="00A74465" w:rsidRDefault="00A74465">
      <w:pPr>
        <w:adjustRightInd w:val="0"/>
        <w:snapToGrid w:val="0"/>
        <w:jc w:val="center"/>
        <w:outlineLvl w:val="0"/>
        <w:rPr>
          <w:rFonts w:ascii="彩虹粗仿宋" w:eastAsia="彩虹粗仿宋" w:hAnsi="宋体" w:cs="Arial"/>
          <w:sz w:val="24"/>
        </w:rPr>
      </w:pPr>
    </w:p>
    <w:p w:rsidR="00A74465" w:rsidRDefault="00A74465">
      <w:pPr>
        <w:adjustRightInd w:val="0"/>
        <w:snapToGrid w:val="0"/>
        <w:jc w:val="center"/>
        <w:outlineLvl w:val="0"/>
        <w:rPr>
          <w:rFonts w:ascii="彩虹粗仿宋" w:eastAsia="彩虹粗仿宋" w:hAnsi="宋体" w:cs="Arial"/>
          <w:sz w:val="24"/>
        </w:rPr>
      </w:pPr>
    </w:p>
    <w:p w:rsidR="00A74465" w:rsidRDefault="002379B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基金管理人：华商基金管理有限公司</w:t>
      </w:r>
    </w:p>
    <w:p w:rsidR="00A74465" w:rsidRDefault="002379B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基金托管人：中国建设银行股份有限公司</w:t>
      </w:r>
    </w:p>
    <w:p w:rsidR="00A74465" w:rsidRDefault="00A74465">
      <w:pPr>
        <w:adjustRightInd w:val="0"/>
        <w:snapToGrid w:val="0"/>
        <w:jc w:val="center"/>
        <w:outlineLvl w:val="0"/>
        <w:rPr>
          <w:rFonts w:ascii="彩虹粗仿宋" w:eastAsia="彩虹粗仿宋" w:hAnsi="宋体" w:cs="Arial"/>
          <w:sz w:val="24"/>
        </w:rPr>
      </w:pPr>
    </w:p>
    <w:p w:rsidR="00A74465" w:rsidRDefault="00A74465">
      <w:pPr>
        <w:adjustRightInd w:val="0"/>
        <w:snapToGrid w:val="0"/>
        <w:jc w:val="center"/>
        <w:outlineLvl w:val="0"/>
        <w:rPr>
          <w:rFonts w:ascii="彩虹粗仿宋" w:eastAsia="彩虹粗仿宋" w:hAnsi="宋体" w:cs="Arial"/>
          <w:sz w:val="24"/>
        </w:rPr>
      </w:pPr>
    </w:p>
    <w:p w:rsidR="00A74465" w:rsidRDefault="002379B6">
      <w:pPr>
        <w:adjustRightInd w:val="0"/>
        <w:snapToGrid w:val="0"/>
        <w:outlineLvl w:val="0"/>
        <w:rPr>
          <w:rFonts w:ascii="彩虹粗仿宋" w:eastAsia="彩虹粗仿宋" w:hAnsi="宋体" w:cs="Arial"/>
          <w:sz w:val="24"/>
        </w:rPr>
      </w:pPr>
      <w:r>
        <w:rPr>
          <w:rFonts w:ascii="彩虹粗仿宋" w:eastAsia="彩虹粗仿宋" w:hAnsi="宋体" w:cs="Arial" w:hint="eastAsia"/>
          <w:sz w:val="24"/>
        </w:rPr>
        <w:t xml:space="preserve">                            二零二五年</w:t>
      </w:r>
      <w:r w:rsidR="006F32DD">
        <w:rPr>
          <w:rFonts w:ascii="彩虹粗仿宋" w:eastAsia="彩虹粗仿宋" w:hAnsi="宋体" w:cs="Arial" w:hint="eastAsia"/>
          <w:sz w:val="24"/>
        </w:rPr>
        <w:t>十</w:t>
      </w:r>
      <w:r w:rsidR="006C279C">
        <w:rPr>
          <w:rFonts w:ascii="彩虹粗仿宋" w:eastAsia="彩虹粗仿宋" w:hAnsi="宋体" w:cs="Arial" w:hint="eastAsia"/>
          <w:sz w:val="24"/>
        </w:rPr>
        <w:t>一</w:t>
      </w:r>
      <w:r>
        <w:rPr>
          <w:rFonts w:ascii="彩虹粗仿宋" w:eastAsia="彩虹粗仿宋" w:hAnsi="宋体" w:cs="Arial" w:hint="eastAsia"/>
          <w:sz w:val="24"/>
        </w:rPr>
        <w:t>月</w:t>
      </w:r>
    </w:p>
    <w:p w:rsidR="00A74465" w:rsidRDefault="00A74465">
      <w:pPr>
        <w:adjustRightInd w:val="0"/>
        <w:snapToGrid w:val="0"/>
        <w:jc w:val="center"/>
        <w:outlineLvl w:val="0"/>
        <w:rPr>
          <w:rFonts w:ascii="彩虹粗仿宋" w:eastAsia="彩虹粗仿宋" w:hAnsi="宋体" w:cs="Arial"/>
          <w:sz w:val="24"/>
        </w:rPr>
      </w:pPr>
    </w:p>
    <w:p w:rsidR="00A74465" w:rsidRDefault="00A74465">
      <w:pPr>
        <w:adjustRightInd w:val="0"/>
        <w:snapToGrid w:val="0"/>
        <w:jc w:val="center"/>
        <w:rPr>
          <w:rFonts w:ascii="彩虹粗仿宋" w:eastAsia="彩虹粗仿宋" w:hAnsi="宋体" w:cs="Arial"/>
          <w:bCs/>
          <w:sz w:val="24"/>
        </w:rPr>
        <w:sectPr w:rsidR="00A74465">
          <w:footerReference w:type="even" r:id="rId7"/>
          <w:footerReference w:type="default" r:id="rId8"/>
          <w:pgSz w:w="11906" w:h="16838"/>
          <w:pgMar w:top="1418" w:right="1701" w:bottom="1418" w:left="1701" w:header="851" w:footer="992" w:gutter="0"/>
          <w:cols w:space="425"/>
          <w:docGrid w:type="lines" w:linePitch="312"/>
        </w:sectPr>
      </w:pPr>
    </w:p>
    <w:p w:rsidR="00A74465" w:rsidRDefault="002379B6">
      <w:pPr>
        <w:jc w:val="center"/>
        <w:rPr>
          <w:rFonts w:ascii="彩虹粗仿宋" w:eastAsia="彩虹粗仿宋"/>
          <w:b/>
          <w:bCs/>
          <w:sz w:val="30"/>
        </w:rPr>
      </w:pPr>
      <w:r>
        <w:rPr>
          <w:rFonts w:ascii="彩虹粗仿宋" w:eastAsia="彩虹粗仿宋" w:hint="eastAsia"/>
          <w:b/>
          <w:bCs/>
          <w:sz w:val="30"/>
        </w:rPr>
        <w:lastRenderedPageBreak/>
        <w:t>目    录</w:t>
      </w:r>
    </w:p>
    <w:p w:rsidR="00A74465" w:rsidRDefault="002379B6">
      <w:pPr>
        <w:pStyle w:val="21"/>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1"/>
            <w:rFonts w:ascii="彩虹粗仿宋" w:eastAsia="彩虹粗仿宋" w:hAnsi="宋体" w:hint="eastAsia"/>
            <w:noProof/>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6F32DD">
          <w:rPr>
            <w:rFonts w:ascii="彩虹粗仿宋" w:eastAsia="彩虹粗仿宋" w:hAnsi="宋体"/>
            <w:noProof/>
            <w:sz w:val="28"/>
          </w:rPr>
          <w:t>3</w:t>
        </w:r>
        <w:r>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86" w:history="1">
        <w:r w:rsidR="002379B6">
          <w:rPr>
            <w:rStyle w:val="af1"/>
            <w:rFonts w:ascii="彩虹粗仿宋" w:eastAsia="彩虹粗仿宋" w:hAnsi="宋体" w:hint="eastAsia"/>
            <w:noProof/>
            <w:sz w:val="28"/>
            <w:szCs w:val="32"/>
          </w:rPr>
          <w:t>二、基金托管协议的依据、目的和原则</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_Toc124325886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4</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87" w:history="1">
        <w:r w:rsidR="002379B6">
          <w:rPr>
            <w:rStyle w:val="af1"/>
            <w:rFonts w:ascii="彩虹粗仿宋" w:eastAsia="彩虹粗仿宋" w:hAnsi="宋体" w:hint="eastAsia"/>
            <w:noProof/>
            <w:sz w:val="28"/>
            <w:szCs w:val="32"/>
          </w:rPr>
          <w:t>三、基金托管人对基金管理人的业务监督和核查</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_Toc124325887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4</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88" w:history="1">
        <w:r w:rsidR="002379B6">
          <w:rPr>
            <w:rStyle w:val="af1"/>
            <w:rFonts w:ascii="彩虹粗仿宋" w:eastAsia="彩虹粗仿宋" w:hAnsi="宋体" w:hint="eastAsia"/>
            <w:noProof/>
            <w:sz w:val="28"/>
            <w:szCs w:val="32"/>
          </w:rPr>
          <w:t>四、基金管理人对基金托管人的业务核查</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_Toc124325888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10</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89" w:history="1">
        <w:r w:rsidR="002379B6">
          <w:rPr>
            <w:rStyle w:val="af1"/>
            <w:rFonts w:ascii="彩虹粗仿宋" w:eastAsia="彩虹粗仿宋" w:hAnsi="宋体" w:hint="eastAsia"/>
            <w:noProof/>
            <w:sz w:val="28"/>
            <w:szCs w:val="32"/>
          </w:rPr>
          <w:t>五、基金财产的保管</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_Toc124325889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11</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90" w:history="1">
        <w:r w:rsidR="002379B6">
          <w:rPr>
            <w:rStyle w:val="af1"/>
            <w:rFonts w:ascii="彩虹粗仿宋" w:eastAsia="彩虹粗仿宋" w:hAnsi="宋体" w:hint="eastAsia"/>
            <w:noProof/>
            <w:sz w:val="28"/>
            <w:szCs w:val="32"/>
          </w:rPr>
          <w:t>六、指令的发送、确认及执行</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_Toc124325890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14</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91" w:history="1">
        <w:r w:rsidR="002379B6">
          <w:rPr>
            <w:rStyle w:val="af1"/>
            <w:rFonts w:ascii="彩虹粗仿宋" w:eastAsia="彩虹粗仿宋" w:hAnsi="宋体" w:hint="eastAsia"/>
            <w:noProof/>
            <w:sz w:val="28"/>
            <w:szCs w:val="32"/>
          </w:rPr>
          <w:t>七、交易及清算交收安排</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_Toc124325891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16</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92" w:history="1">
        <w:r w:rsidR="002379B6">
          <w:rPr>
            <w:rStyle w:val="af1"/>
            <w:rFonts w:ascii="彩虹粗仿宋" w:eastAsia="彩虹粗仿宋" w:hAnsi="宋体" w:hint="eastAsia"/>
            <w:noProof/>
            <w:sz w:val="28"/>
            <w:szCs w:val="32"/>
          </w:rPr>
          <w:t>八、基金资产净值计算和会计核算</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_Toc124325892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21</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93" w:history="1">
        <w:r w:rsidR="002379B6">
          <w:rPr>
            <w:rStyle w:val="af1"/>
            <w:rFonts w:ascii="彩虹粗仿宋" w:eastAsia="彩虹粗仿宋" w:hAnsi="宋体" w:hint="eastAsia"/>
            <w:noProof/>
            <w:sz w:val="28"/>
            <w:szCs w:val="32"/>
          </w:rPr>
          <w:t>九、基金收益分配</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_Toc124325893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28</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94" w:history="1">
        <w:r w:rsidR="002379B6">
          <w:rPr>
            <w:rStyle w:val="af1"/>
            <w:rFonts w:ascii="彩虹粗仿宋" w:eastAsia="彩虹粗仿宋" w:hAnsi="宋体" w:hint="eastAsia"/>
            <w:noProof/>
            <w:sz w:val="28"/>
            <w:szCs w:val="32"/>
          </w:rPr>
          <w:t>十、基金信息披露</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_Toc124325894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29</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95" w:history="1">
        <w:r w:rsidR="002379B6">
          <w:rPr>
            <w:rStyle w:val="af1"/>
            <w:rFonts w:ascii="彩虹粗仿宋" w:eastAsia="彩虹粗仿宋" w:hAnsi="宋体" w:hint="eastAsia"/>
            <w:noProof/>
            <w:sz w:val="28"/>
            <w:szCs w:val="32"/>
          </w:rPr>
          <w:t>十一、基金费用</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_Toc124325895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31</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96" w:history="1">
        <w:r w:rsidR="002379B6">
          <w:rPr>
            <w:rStyle w:val="af1"/>
            <w:rFonts w:ascii="彩虹粗仿宋" w:eastAsia="彩虹粗仿宋" w:hAnsi="宋体" w:hint="eastAsia"/>
            <w:noProof/>
            <w:sz w:val="28"/>
            <w:szCs w:val="32"/>
          </w:rPr>
          <w:t>十二、基金份额持有人名册的保管</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_Toc124325896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32</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97" w:history="1">
        <w:r w:rsidR="002379B6">
          <w:rPr>
            <w:rStyle w:val="af1"/>
            <w:rFonts w:ascii="彩虹粗仿宋" w:eastAsia="彩虹粗仿宋" w:hAnsi="宋体" w:hint="eastAsia"/>
            <w:noProof/>
            <w:sz w:val="28"/>
            <w:szCs w:val="32"/>
          </w:rPr>
          <w:t>十三、基金有关文件档案的保存</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_Toc124325897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33</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98" w:history="1">
        <w:r w:rsidR="002379B6">
          <w:rPr>
            <w:rStyle w:val="af1"/>
            <w:rFonts w:ascii="彩虹粗仿宋" w:eastAsia="彩虹粗仿宋" w:hAnsi="宋体" w:hint="eastAsia"/>
            <w:noProof/>
            <w:sz w:val="28"/>
            <w:szCs w:val="32"/>
          </w:rPr>
          <w:t>十四、基金管理人和基金托管人的更换</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_Toc124325898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33</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899" w:history="1">
        <w:r w:rsidR="002379B6">
          <w:rPr>
            <w:rStyle w:val="af1"/>
            <w:rFonts w:ascii="彩虹粗仿宋" w:eastAsia="彩虹粗仿宋" w:hAnsi="宋体" w:hint="eastAsia"/>
            <w:noProof/>
            <w:sz w:val="28"/>
            <w:szCs w:val="32"/>
          </w:rPr>
          <w:t>十五、禁止行为</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_Toc124325899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36</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900" w:history="1">
        <w:r w:rsidR="002379B6">
          <w:rPr>
            <w:rStyle w:val="af1"/>
            <w:rFonts w:ascii="彩虹粗仿宋" w:eastAsia="彩虹粗仿宋" w:hAnsi="宋体" w:hint="eastAsia"/>
            <w:noProof/>
            <w:sz w:val="28"/>
            <w:szCs w:val="32"/>
          </w:rPr>
          <w:t>十六、托管协议的变更、终止与基金财产的清算</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_Toc124325900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37</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901" w:history="1">
        <w:r w:rsidR="002379B6">
          <w:rPr>
            <w:rStyle w:val="af1"/>
            <w:rFonts w:ascii="彩虹粗仿宋" w:eastAsia="彩虹粗仿宋" w:hAnsi="宋体" w:hint="eastAsia"/>
            <w:noProof/>
            <w:sz w:val="28"/>
            <w:szCs w:val="32"/>
          </w:rPr>
          <w:t>十七、违约责任</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_Toc124325901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38</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902" w:history="1">
        <w:r w:rsidR="002379B6">
          <w:rPr>
            <w:rStyle w:val="af1"/>
            <w:rFonts w:ascii="彩虹粗仿宋" w:eastAsia="彩虹粗仿宋" w:hAnsi="宋体" w:hint="eastAsia"/>
            <w:noProof/>
            <w:sz w:val="28"/>
            <w:szCs w:val="32"/>
          </w:rPr>
          <w:t>十八、争议解决方式</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_Toc124325902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39</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903" w:history="1">
        <w:r w:rsidR="002379B6">
          <w:rPr>
            <w:rStyle w:val="af1"/>
            <w:rFonts w:ascii="彩虹粗仿宋" w:eastAsia="彩虹粗仿宋" w:hAnsi="宋体" w:hint="eastAsia"/>
            <w:noProof/>
            <w:sz w:val="28"/>
            <w:szCs w:val="32"/>
          </w:rPr>
          <w:t>十九、托管协议的效力</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_Toc124325903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39</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904" w:history="1">
        <w:r w:rsidR="002379B6">
          <w:rPr>
            <w:rStyle w:val="af1"/>
            <w:rFonts w:ascii="彩虹粗仿宋" w:eastAsia="彩虹粗仿宋" w:hAnsi="宋体" w:hint="eastAsia"/>
            <w:noProof/>
            <w:sz w:val="28"/>
            <w:szCs w:val="32"/>
          </w:rPr>
          <w:t>二十、其他事项</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_Toc124325904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40</w:t>
        </w:r>
        <w:r w:rsidR="002379B6">
          <w:rPr>
            <w:rFonts w:ascii="彩虹粗仿宋" w:eastAsia="彩虹粗仿宋" w:hAnsi="宋体" w:hint="eastAsia"/>
            <w:noProof/>
            <w:sz w:val="28"/>
          </w:rPr>
          <w:fldChar w:fldCharType="end"/>
        </w:r>
      </w:hyperlink>
    </w:p>
    <w:p w:rsidR="00A74465" w:rsidRDefault="002463F7">
      <w:pPr>
        <w:pStyle w:val="21"/>
        <w:tabs>
          <w:tab w:val="right" w:leader="dot" w:pos="8494"/>
        </w:tabs>
        <w:rPr>
          <w:rFonts w:ascii="彩虹粗仿宋" w:eastAsia="彩虹粗仿宋" w:hAnsi="宋体"/>
          <w:noProof/>
          <w:sz w:val="28"/>
        </w:rPr>
      </w:pPr>
      <w:hyperlink w:anchor="_Toc124325905" w:history="1">
        <w:r w:rsidR="002379B6">
          <w:rPr>
            <w:rStyle w:val="af1"/>
            <w:rFonts w:ascii="彩虹粗仿宋" w:eastAsia="彩虹粗仿宋" w:hAnsi="宋体" w:hint="eastAsia"/>
            <w:noProof/>
            <w:sz w:val="28"/>
            <w:szCs w:val="32"/>
          </w:rPr>
          <w:t>二十一、托管协议的签订</w:t>
        </w:r>
        <w:r w:rsidR="002379B6">
          <w:rPr>
            <w:rFonts w:ascii="彩虹粗仿宋" w:eastAsia="彩虹粗仿宋" w:hAnsi="宋体" w:hint="eastAsia"/>
            <w:noProof/>
            <w:sz w:val="28"/>
          </w:rPr>
          <w:tab/>
        </w:r>
        <w:r w:rsidR="002379B6">
          <w:rPr>
            <w:rFonts w:ascii="彩虹粗仿宋" w:eastAsia="彩虹粗仿宋" w:hAnsi="宋体" w:hint="eastAsia"/>
            <w:noProof/>
            <w:sz w:val="28"/>
          </w:rPr>
          <w:fldChar w:fldCharType="begin"/>
        </w:r>
        <w:r w:rsidR="002379B6">
          <w:rPr>
            <w:rFonts w:ascii="彩虹粗仿宋" w:eastAsia="彩虹粗仿宋" w:hAnsi="宋体" w:hint="eastAsia"/>
            <w:noProof/>
            <w:sz w:val="28"/>
          </w:rPr>
          <w:instrText xml:space="preserve"> PAGEREF _Toc124325905 \h </w:instrText>
        </w:r>
        <w:r w:rsidR="002379B6">
          <w:rPr>
            <w:rFonts w:ascii="彩虹粗仿宋" w:eastAsia="彩虹粗仿宋" w:hAnsi="宋体" w:hint="eastAsia"/>
            <w:noProof/>
            <w:sz w:val="28"/>
          </w:rPr>
        </w:r>
        <w:r w:rsidR="002379B6">
          <w:rPr>
            <w:rFonts w:ascii="彩虹粗仿宋" w:eastAsia="彩虹粗仿宋" w:hAnsi="宋体" w:hint="eastAsia"/>
            <w:noProof/>
            <w:sz w:val="28"/>
          </w:rPr>
          <w:fldChar w:fldCharType="separate"/>
        </w:r>
        <w:r w:rsidR="006F32DD">
          <w:rPr>
            <w:rFonts w:ascii="彩虹粗仿宋" w:eastAsia="彩虹粗仿宋" w:hAnsi="宋体"/>
            <w:noProof/>
            <w:sz w:val="28"/>
          </w:rPr>
          <w:t>40</w:t>
        </w:r>
        <w:r w:rsidR="002379B6">
          <w:rPr>
            <w:rFonts w:ascii="彩虹粗仿宋" w:eastAsia="彩虹粗仿宋" w:hAnsi="宋体" w:hint="eastAsia"/>
            <w:noProof/>
            <w:sz w:val="28"/>
          </w:rPr>
          <w:fldChar w:fldCharType="end"/>
        </w:r>
      </w:hyperlink>
    </w:p>
    <w:p w:rsidR="00A74465" w:rsidRDefault="002379B6">
      <w:pPr>
        <w:rPr>
          <w:rFonts w:ascii="彩虹粗仿宋" w:eastAsia="彩虹粗仿宋"/>
          <w:sz w:val="24"/>
        </w:rPr>
      </w:pPr>
      <w:r>
        <w:rPr>
          <w:rFonts w:ascii="彩虹粗仿宋" w:eastAsia="彩虹粗仿宋" w:hAnsi="宋体" w:hint="eastAsia"/>
          <w:sz w:val="28"/>
        </w:rPr>
        <w:lastRenderedPageBreak/>
        <w:fldChar w:fldCharType="end"/>
      </w:r>
    </w:p>
    <w:p w:rsidR="00A74465" w:rsidRDefault="002379B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华商基金管理有限公司系一家依照中国法律合法成立并有效存续的有限责任公司，按照相关法律法规的规定具备担任基金管理人的资格和能力，拟募集发行华商汇享多元配置3个月持有期混合型基金中基金(FOF)；</w:t>
      </w:r>
    </w:p>
    <w:p w:rsidR="00A74465" w:rsidRDefault="002379B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A74465" w:rsidRDefault="002379B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鉴于华商基金管理有限公司拟担任华商汇享多元配置3个月持有期混合型基金中基金(FOF)的基金管理人，中国建设银行股份有限公司拟担任华商汇享多元配置3个月持有期混合型基金中基金(FOF)的基金托管人；</w:t>
      </w:r>
    </w:p>
    <w:p w:rsidR="00A74465" w:rsidRDefault="002379B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为明确华商汇享多元配置3个月持有期混合型基金中基金(FOF)的基金管理人和基金托管人之间的权利义务关系，特制订本托管协议；</w:t>
      </w:r>
    </w:p>
    <w:p w:rsidR="00A74465" w:rsidRDefault="002379B6">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华商汇享多元配置3个月持有期混合型基金中基金(FOF)</w:t>
      </w:r>
      <w:r>
        <w:rPr>
          <w:rFonts w:ascii="彩虹粗仿宋" w:eastAsia="彩虹粗仿宋" w:hAnsi="宋体" w:cs="Arial" w:hint="eastAsia"/>
          <w:kern w:val="0"/>
          <w:sz w:val="24"/>
          <w:lang w:val="en-GB"/>
        </w:rPr>
        <w:t>基金合同》(以下简称“基金合同”或“《基金合同》”)中定义的术语在用于本托管协议时应具有相同的含义；若有抵触应以《基金合同》为准，并依其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rsidR="00A74465" w:rsidRDefault="00A74465">
      <w:pPr>
        <w:rPr>
          <w:rFonts w:ascii="彩虹粗仿宋" w:eastAsia="彩虹粗仿宋"/>
          <w:sz w:val="24"/>
          <w:lang w:val="en-GB"/>
        </w:rPr>
      </w:pPr>
    </w:p>
    <w:p w:rsidR="00A74465" w:rsidRDefault="002379B6">
      <w:pPr>
        <w:pStyle w:val="2"/>
        <w:jc w:val="center"/>
        <w:rPr>
          <w:rFonts w:ascii="彩虹粗仿宋" w:eastAsia="彩虹粗仿宋"/>
        </w:rPr>
      </w:pPr>
      <w:bookmarkStart w:id="0" w:name="_Toc124325885"/>
      <w:r>
        <w:rPr>
          <w:rFonts w:ascii="彩虹粗仿宋" w:eastAsia="彩虹粗仿宋" w:hint="eastAsia"/>
        </w:rPr>
        <w:t>一、基金托管协议当事人</w:t>
      </w:r>
      <w:bookmarkEnd w:id="0"/>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名称：华商基金管理有限公司</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注册地址：北京市西城区平安里西大街28号楼19层</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办公地址：北京市西城区平安里西大街28号楼19层</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邮政编码：100035</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法定代表人：苏金奎</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w:t>
      </w:r>
      <w:r>
        <w:rPr>
          <w:rStyle w:val="read"/>
          <w:rFonts w:ascii="彩虹粗仿宋" w:eastAsia="彩虹粗仿宋" w:hAnsi="宋体" w:cs="Arial" w:hint="eastAsia"/>
          <w:sz w:val="24"/>
        </w:rPr>
        <w:t>2005年12月20日</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批准设立机关及批准设立文号：中国证监会证监基金字</w:t>
      </w:r>
      <w:r>
        <w:rPr>
          <w:rStyle w:val="read"/>
          <w:rFonts w:ascii="彩虹粗仿宋" w:eastAsia="彩虹粗仿宋" w:hAnsi="宋体" w:cs="Arial" w:hint="eastAsia"/>
          <w:sz w:val="24"/>
        </w:rPr>
        <w:t>[</w:t>
      </w:r>
      <w:r>
        <w:rPr>
          <w:rStyle w:val="read"/>
          <w:rFonts w:ascii="彩虹粗仿宋" w:eastAsia="彩虹粗仿宋" w:hAnsi="宋体" w:cs="Arial"/>
          <w:sz w:val="24"/>
        </w:rPr>
        <w:t>2005</w:t>
      </w:r>
      <w:r>
        <w:rPr>
          <w:rStyle w:val="read"/>
          <w:rFonts w:ascii="彩虹粗仿宋" w:eastAsia="彩虹粗仿宋" w:hAnsi="宋体" w:cs="Arial" w:hint="eastAsia"/>
          <w:sz w:val="24"/>
        </w:rPr>
        <w:t>]160</w:t>
      </w:r>
      <w:r>
        <w:rPr>
          <w:rFonts w:ascii="彩虹粗仿宋" w:eastAsia="彩虹粗仿宋" w:hAnsi="宋体" w:cs="Arial" w:hint="eastAsia"/>
          <w:sz w:val="24"/>
        </w:rPr>
        <w:t>号</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组织形式：其他有限责任公司</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注册资本：壹亿</w:t>
      </w:r>
      <w:r>
        <w:rPr>
          <w:rStyle w:val="read"/>
          <w:rFonts w:ascii="彩虹粗仿宋" w:eastAsia="彩虹粗仿宋" w:hAnsi="宋体" w:cs="Arial" w:hint="eastAsia"/>
          <w:sz w:val="24"/>
        </w:rPr>
        <w:t>元</w:t>
      </w:r>
      <w:r>
        <w:rPr>
          <w:rFonts w:ascii="彩虹粗仿宋" w:eastAsia="彩虹粗仿宋" w:hAnsi="宋体" w:cs="Arial" w:hint="eastAsia"/>
          <w:sz w:val="24"/>
        </w:rPr>
        <w:t>人民币</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经营范围：基金募集；基金销售；资产管理以及中国证监会许可的其它业务。</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住所：北京市西城区金融大街25号</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1" w:name="OLE_LINK3"/>
      <w:r>
        <w:rPr>
          <w:rFonts w:ascii="彩虹粗仿宋" w:eastAsia="彩虹粗仿宋" w:hAnsi="宋体" w:cs="Arial" w:hint="eastAsia"/>
          <w:sz w:val="24"/>
        </w:rPr>
        <w:t>]</w:t>
      </w:r>
      <w:bookmarkEnd w:id="1"/>
      <w:r>
        <w:rPr>
          <w:rFonts w:ascii="彩虹粗仿宋" w:eastAsia="彩虹粗仿宋" w:hAnsi="宋体" w:cs="Arial" w:hint="eastAsia"/>
          <w:sz w:val="24"/>
        </w:rPr>
        <w:t>12号</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int="eastAsia"/>
          <w:sz w:val="24"/>
        </w:rPr>
        <w:t>贰仟伍佰亿壹仟零玖拾柒万柒仟肆佰捌拾陆元整</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A74465" w:rsidRDefault="002379B6">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A74465" w:rsidRDefault="00A74465">
      <w:pPr>
        <w:rPr>
          <w:rFonts w:ascii="彩虹粗仿宋" w:eastAsia="彩虹粗仿宋"/>
          <w:sz w:val="24"/>
        </w:rPr>
      </w:pPr>
    </w:p>
    <w:p w:rsidR="00A74465" w:rsidRDefault="002379B6">
      <w:pPr>
        <w:pStyle w:val="2"/>
        <w:jc w:val="center"/>
        <w:rPr>
          <w:rFonts w:ascii="彩虹粗仿宋" w:eastAsia="彩虹粗仿宋"/>
          <w:sz w:val="30"/>
        </w:rPr>
      </w:pPr>
      <w:bookmarkStart w:id="2" w:name="_Toc124325886"/>
      <w:r>
        <w:rPr>
          <w:rFonts w:ascii="彩虹粗仿宋" w:eastAsia="彩虹粗仿宋" w:hint="eastAsia"/>
          <w:sz w:val="30"/>
        </w:rPr>
        <w:t>二、基金托管协议的依据、目的和原则</w:t>
      </w:r>
      <w:bookmarkEnd w:id="2"/>
    </w:p>
    <w:p w:rsidR="00A74465" w:rsidRDefault="002379B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rsidR="00A74465" w:rsidRDefault="002379B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A74465" w:rsidRDefault="00A74465">
      <w:pPr>
        <w:rPr>
          <w:rFonts w:ascii="彩虹粗仿宋" w:eastAsia="彩虹粗仿宋"/>
          <w:sz w:val="24"/>
        </w:rPr>
      </w:pPr>
    </w:p>
    <w:p w:rsidR="00A74465" w:rsidRDefault="002379B6">
      <w:pPr>
        <w:pStyle w:val="2"/>
        <w:jc w:val="center"/>
        <w:rPr>
          <w:rFonts w:ascii="彩虹粗仿宋" w:eastAsia="彩虹粗仿宋"/>
          <w:sz w:val="30"/>
          <w:szCs w:val="24"/>
        </w:rPr>
      </w:pPr>
      <w:bookmarkStart w:id="3" w:name="_Toc124325887"/>
      <w:r>
        <w:rPr>
          <w:rFonts w:ascii="彩虹粗仿宋" w:eastAsia="彩虹粗仿宋" w:hint="eastAsia"/>
          <w:sz w:val="30"/>
        </w:rPr>
        <w:t>三、基金托管人对基金管理人的业务监督和核查</w:t>
      </w:r>
      <w:bookmarkEnd w:id="3"/>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w:t>
      </w:r>
      <w:r>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将拟投资的标的证券库提供给基金托管人，基金管理人可以根据实际情况的变化，对各标的证券库予以更新和调整并及时书面通知基金托管人。基金托管人根据上述投资范围对基金实际投资是否符合《基金合同》关于证券选择标准的约定进行监督。</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包括经中国证监会依法核准或注册的公开募集证券投资基金（含QDII基金、香港互认基金、公开募集基础设施证券投资基金（以下简称“公募REITs”））、国内依法发行或上市的股票（包括创业板、其他依法发行或上市的股票及存托凭证）、港股通标的证券（包括股票和ETF）、债券（包括国债、央行票据、地方政府债、金融债、企业债、公司债、次级债、中期票据、短期融资券、超短期融资券、可转换债券、可交换债券）、同业存单、资产支持证券、债券回购、银行存款（含协议存款、定期存款及其他银行存款）及法律法规或中国证监会允许基金投资的其他金融工具（但须符合中国证监会相关规定）。</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本基金的投资组合比例为：本基金投资于证券投资基金的比例不低于本基金资产的80%，投资于权益类资产（股票、股票型基金、混合型基金、存托凭证）的比例范围为</w:t>
      </w:r>
      <w:r w:rsidR="003D6BEC">
        <w:rPr>
          <w:rFonts w:ascii="彩虹粗仿宋" w:eastAsia="彩虹粗仿宋" w:hAnsi="宋体" w:cs="Arial" w:hint="eastAsia"/>
          <w:sz w:val="24"/>
        </w:rPr>
        <w:t>5%</w:t>
      </w:r>
      <w:r>
        <w:rPr>
          <w:rFonts w:ascii="彩虹粗仿宋" w:eastAsia="彩虹粗仿宋" w:hAnsi="宋体" w:cs="Arial" w:hint="eastAsia"/>
          <w:sz w:val="24"/>
        </w:rPr>
        <w:t>-30%；投资于港股通标的股票不超过股票资产的50%；投资于QDII基金和香港互认基金比例合计不超过基金资产的20%；投资于货币市场基金的比例不得超过基金资产的15%；本基金持有现金或到期日在一年以内的政府债券不低于基金资产净值的5%，其中，现金不包括结算备付金、存出保证金、应收申购款等。</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计入上述权益类资产的混合型基金需符合下列两个条件之一：1、基金合同约定股票资产投资比例不低于基金资产60%的混合型基金；2、最近连续四个季度披露的基金定期报告中显示股票投资比例高于基金资产的60%的混合型基金。</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如法律法规或监管机构变更投资品种的投资比例限制，基金管理人在履行适当程序后，可以调整上述投资品种的投资比例。</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A74465" w:rsidRDefault="002379B6">
      <w:pPr>
        <w:adjustRightInd w:val="0"/>
        <w:snapToGrid w:val="0"/>
        <w:ind w:firstLineChars="200" w:firstLine="480"/>
        <w:rPr>
          <w:rFonts w:ascii="彩虹粗仿宋" w:eastAsia="彩虹粗仿宋"/>
          <w:i/>
          <w:sz w:val="24"/>
        </w:rPr>
      </w:pPr>
      <w:r>
        <w:rPr>
          <w:rFonts w:ascii="彩虹粗仿宋" w:eastAsia="彩虹粗仿宋"/>
          <w:sz w:val="24"/>
        </w:rPr>
        <w:t>1.</w:t>
      </w:r>
      <w:r>
        <w:rPr>
          <w:rFonts w:ascii="彩虹粗仿宋" w:eastAsia="彩虹粗仿宋" w:hint="eastAsia"/>
          <w:i/>
          <w:sz w:val="24"/>
        </w:rPr>
        <w:t xml:space="preserve"> </w:t>
      </w:r>
      <w:r>
        <w:rPr>
          <w:rFonts w:ascii="彩虹粗仿宋" w:eastAsia="彩虹粗仿宋" w:hint="eastAsia"/>
          <w:sz w:val="24"/>
        </w:rPr>
        <w:t>本基金将不低于80%的基金资产投资于经中国证监会依法核准或注册的公开募集证券投资基金，其中，投资于QDII基金和香港互认基金的比例合计不超过基金资产的20%；投资于货币市场基金的比例不得超过基金资产的15%</w:t>
      </w:r>
      <w:r>
        <w:rPr>
          <w:rFonts w:ascii="彩虹粗仿宋" w:eastAsia="彩虹粗仿宋"/>
          <w:sz w:val="24"/>
        </w:rPr>
        <w:t>；</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hint="eastAsia"/>
        </w:rPr>
        <w:t xml:space="preserve"> </w:t>
      </w:r>
      <w:r>
        <w:rPr>
          <w:rFonts w:ascii="彩虹粗仿宋" w:eastAsia="彩虹粗仿宋" w:hint="eastAsia"/>
          <w:sz w:val="24"/>
        </w:rPr>
        <w:t>本基金投资于权益类资产（股票、股票型基金、混合型基金、存托凭证）</w:t>
      </w:r>
      <w:r>
        <w:rPr>
          <w:rFonts w:ascii="彩虹粗仿宋" w:eastAsia="彩虹粗仿宋" w:hint="eastAsia"/>
          <w:sz w:val="24"/>
        </w:rPr>
        <w:lastRenderedPageBreak/>
        <w:t>的比例范围为</w:t>
      </w:r>
      <w:r w:rsidR="003D6BEC">
        <w:rPr>
          <w:rFonts w:ascii="彩虹粗仿宋" w:eastAsia="彩虹粗仿宋" w:hint="eastAsia"/>
          <w:sz w:val="24"/>
        </w:rPr>
        <w:t>5%</w:t>
      </w:r>
      <w:r>
        <w:rPr>
          <w:rFonts w:ascii="彩虹粗仿宋" w:eastAsia="彩虹粗仿宋" w:hint="eastAsia"/>
          <w:sz w:val="24"/>
        </w:rPr>
        <w:t xml:space="preserve">-30%；投资于港股通标的股票不超过股票资产的50%； </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3.</w:t>
      </w:r>
      <w:r>
        <w:rPr>
          <w:rFonts w:hint="eastAsia"/>
        </w:rPr>
        <w:t xml:space="preserve"> </w:t>
      </w:r>
      <w:r>
        <w:rPr>
          <w:rFonts w:ascii="彩虹粗仿宋" w:eastAsia="彩虹粗仿宋" w:hint="eastAsia"/>
          <w:sz w:val="24"/>
        </w:rPr>
        <w:t>本基金持有单只基金的市值，不高于本基金资产净值的20%，且不得持有其他基金中基金；</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4.</w:t>
      </w:r>
      <w:r>
        <w:rPr>
          <w:rFonts w:hint="eastAsia"/>
        </w:rPr>
        <w:t xml:space="preserve"> </w:t>
      </w:r>
      <w:r>
        <w:rPr>
          <w:rFonts w:ascii="彩虹粗仿宋" w:eastAsia="彩虹粗仿宋" w:hint="eastAsia"/>
          <w:sz w:val="24"/>
        </w:rPr>
        <w:t>本基金管理人管理的</w:t>
      </w:r>
      <w:r w:rsidRPr="00CA52A7">
        <w:rPr>
          <w:rFonts w:ascii="彩虹粗仿宋" w:eastAsia="彩虹粗仿宋" w:hint="eastAsia"/>
          <w:sz w:val="24"/>
        </w:rPr>
        <w:t>且在本基金托管人处托管的</w:t>
      </w:r>
      <w:r>
        <w:rPr>
          <w:rFonts w:ascii="彩虹粗仿宋" w:eastAsia="彩虹粗仿宋" w:hint="eastAsia"/>
          <w:sz w:val="24"/>
        </w:rPr>
        <w:t>全部基金（ETF联接基金除外）持有一只基金不得超过被投资基金净资产的20%，被投资基金净资产规模以最近定期报告披露的规模为准；</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5. 本基金投资其他基金，被投资基金的运作期限应当不少于1年、最近定期报告披露的基金净资产应当不低于1亿元；</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6.</w:t>
      </w:r>
      <w:r>
        <w:rPr>
          <w:rFonts w:hint="eastAsia"/>
        </w:rPr>
        <w:t xml:space="preserve"> </w:t>
      </w:r>
      <w:r>
        <w:rPr>
          <w:rFonts w:ascii="彩虹粗仿宋" w:eastAsia="彩虹粗仿宋" w:hint="eastAsia"/>
          <w:sz w:val="24"/>
        </w:rPr>
        <w:t>本基金不得持有具有复杂、衍生品性质的基金份额，包括分级基金和中国证监会认定的其他基金份额；</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7.</w:t>
      </w:r>
      <w:r>
        <w:rPr>
          <w:rFonts w:hint="eastAsia"/>
        </w:rPr>
        <w:t xml:space="preserve"> </w:t>
      </w:r>
      <w:r>
        <w:rPr>
          <w:rFonts w:ascii="彩虹粗仿宋" w:eastAsia="彩虹粗仿宋" w:hint="eastAsia"/>
          <w:sz w:val="24"/>
        </w:rPr>
        <w:t>本基金投资于商品基金（含商品期货基金和黄金ETF）的比例不得超过基金资产的10%；</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8.</w:t>
      </w:r>
      <w:r>
        <w:rPr>
          <w:rFonts w:hint="eastAsia"/>
        </w:rPr>
        <w:t xml:space="preserve"> </w:t>
      </w:r>
      <w:r>
        <w:rPr>
          <w:rFonts w:ascii="彩虹粗仿宋" w:eastAsia="彩虹粗仿宋" w:hint="eastAsia"/>
          <w:sz w:val="24"/>
        </w:rPr>
        <w:t>本基金投资于封闭运作基金、定期开放基金等流通受限基金的比例合计不得超过基金资产净值的10%；流通受限基金是指封闭运作基金、定期开放基金等由基金合同规定明确在一定期限锁定期内不可赎回的基金，但不包括ETF、LOF等可上市交易的基金；</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9.</w:t>
      </w:r>
      <w:r>
        <w:rPr>
          <w:rFonts w:hint="eastAsia"/>
        </w:rPr>
        <w:t xml:space="preserve"> </w:t>
      </w:r>
      <w:r>
        <w:rPr>
          <w:rFonts w:ascii="彩虹粗仿宋" w:eastAsia="彩虹粗仿宋" w:hint="eastAsia"/>
          <w:sz w:val="24"/>
        </w:rPr>
        <w:t>保持不低于基金资产净值5%的现金或者到期日在一年以内的政府债券；其中，现金不包括结算备付金、存出保证金、应收申购款等；</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10.</w:t>
      </w:r>
      <w:r>
        <w:rPr>
          <w:rFonts w:hint="eastAsia"/>
        </w:rPr>
        <w:t xml:space="preserve"> </w:t>
      </w:r>
      <w:r>
        <w:rPr>
          <w:rFonts w:ascii="彩虹粗仿宋" w:eastAsia="彩虹粗仿宋" w:hint="eastAsia"/>
          <w:sz w:val="24"/>
        </w:rPr>
        <w:t>本基金持有一家公司发行的证券（不含本基金所投资的基金份额，同一家公司在内地和香港同时上市的A+H股合并计算），其市值不超过基金资产净值的10%；</w:t>
      </w:r>
    </w:p>
    <w:p w:rsidR="00A74465" w:rsidRDefault="002379B6">
      <w:pPr>
        <w:adjustRightInd w:val="0"/>
        <w:snapToGrid w:val="0"/>
        <w:ind w:firstLineChars="200" w:firstLine="480"/>
        <w:rPr>
          <w:rFonts w:ascii="彩虹粗仿宋" w:eastAsia="彩虹粗仿宋"/>
          <w:sz w:val="24"/>
        </w:rPr>
      </w:pPr>
      <w:r>
        <w:rPr>
          <w:rFonts w:ascii="彩虹粗仿宋" w:eastAsia="彩虹粗仿宋"/>
          <w:sz w:val="24"/>
        </w:rPr>
        <w:t>11.</w:t>
      </w:r>
      <w:r>
        <w:rPr>
          <w:rFonts w:hint="eastAsia"/>
        </w:rPr>
        <w:t xml:space="preserve"> </w:t>
      </w:r>
      <w:r>
        <w:rPr>
          <w:rFonts w:ascii="彩虹粗仿宋" w:eastAsia="彩虹粗仿宋" w:hint="eastAsia"/>
          <w:sz w:val="24"/>
        </w:rPr>
        <w:t>本基金管理人管理的</w:t>
      </w:r>
      <w:r w:rsidRPr="00CA52A7">
        <w:rPr>
          <w:rFonts w:ascii="彩虹粗仿宋" w:eastAsia="彩虹粗仿宋" w:hint="eastAsia"/>
          <w:sz w:val="24"/>
        </w:rPr>
        <w:t>且在本基金托管人处托管的</w:t>
      </w:r>
      <w:r>
        <w:rPr>
          <w:rFonts w:ascii="彩虹粗仿宋" w:eastAsia="彩虹粗仿宋" w:hint="eastAsia"/>
          <w:sz w:val="24"/>
        </w:rPr>
        <w:t>全部基金持有一家公司发行的证券（不含本基金所投资的基金份额，同一家公司在内地和香港同时上市的A+H股合并计算），不超过该证券的10%；</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12.</w:t>
      </w:r>
      <w:r>
        <w:rPr>
          <w:rFonts w:hint="eastAsia"/>
        </w:rPr>
        <w:t xml:space="preserve"> </w:t>
      </w:r>
      <w:r>
        <w:rPr>
          <w:rFonts w:ascii="彩虹粗仿宋" w:eastAsia="彩虹粗仿宋" w:hint="eastAsia"/>
          <w:sz w:val="24"/>
        </w:rPr>
        <w:t>本基金投资于同一原始权益人的各类资产支持证券的比例，不得超过基金资产净值的10%；</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13</w:t>
      </w:r>
      <w:r>
        <w:rPr>
          <w:rFonts w:ascii="彩虹粗仿宋" w:eastAsia="彩虹粗仿宋"/>
          <w:sz w:val="24"/>
        </w:rPr>
        <w:t>.</w:t>
      </w:r>
      <w:r>
        <w:rPr>
          <w:rFonts w:hint="eastAsia"/>
        </w:rPr>
        <w:t xml:space="preserve"> </w:t>
      </w:r>
      <w:r>
        <w:rPr>
          <w:rFonts w:ascii="彩虹粗仿宋" w:eastAsia="彩虹粗仿宋" w:hint="eastAsia"/>
          <w:sz w:val="24"/>
        </w:rPr>
        <w:t>本基金持有的全部资产支持证券，其市值不得超过基金资产净值的20%；</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14.</w:t>
      </w:r>
      <w:r>
        <w:rPr>
          <w:rFonts w:hint="eastAsia"/>
        </w:rPr>
        <w:t xml:space="preserve"> </w:t>
      </w:r>
      <w:r>
        <w:rPr>
          <w:rFonts w:ascii="彩虹粗仿宋" w:eastAsia="彩虹粗仿宋" w:hint="eastAsia"/>
          <w:sz w:val="24"/>
        </w:rPr>
        <w:t>本基金持有的同一（指同一信用级别）资产支持证券的比例，不得超过该资产支持证券规模的10%；</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15.</w:t>
      </w:r>
      <w:r>
        <w:rPr>
          <w:rFonts w:hint="eastAsia"/>
        </w:rPr>
        <w:t xml:space="preserve"> </w:t>
      </w:r>
      <w:r>
        <w:rPr>
          <w:rFonts w:ascii="彩虹粗仿宋" w:eastAsia="彩虹粗仿宋" w:hint="eastAsia"/>
          <w:sz w:val="24"/>
        </w:rPr>
        <w:t>本基金管理人管理的</w:t>
      </w:r>
      <w:r w:rsidRPr="00CA52A7">
        <w:rPr>
          <w:rFonts w:ascii="彩虹粗仿宋" w:eastAsia="彩虹粗仿宋" w:hint="eastAsia"/>
          <w:sz w:val="24"/>
        </w:rPr>
        <w:t>且在本基金托管人处托管的</w:t>
      </w:r>
      <w:r>
        <w:rPr>
          <w:rFonts w:ascii="彩虹粗仿宋" w:eastAsia="彩虹粗仿宋" w:hint="eastAsia"/>
          <w:sz w:val="24"/>
        </w:rPr>
        <w:t xml:space="preserve">全部基金投资于同一原始权益人的各类资产支持证券，不得超过其各类资产支持证券合计规模的10%； </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16.</w:t>
      </w:r>
      <w:r>
        <w:rPr>
          <w:rFonts w:hint="eastAsia"/>
        </w:rPr>
        <w:t xml:space="preserve"> </w:t>
      </w:r>
      <w:r>
        <w:rPr>
          <w:rFonts w:ascii="彩虹粗仿宋" w:eastAsia="彩虹粗仿宋" w:hint="eastAsia"/>
          <w:sz w:val="24"/>
        </w:rPr>
        <w:t>本基金应投资于信用级别评级为BBB以上(含BBB)的资产支持证券。基金持有资产支持证券期间，如果其信用等级下降、不再符合投资标准，应在评级</w:t>
      </w:r>
      <w:r>
        <w:rPr>
          <w:rFonts w:ascii="彩虹粗仿宋" w:eastAsia="彩虹粗仿宋" w:hint="eastAsia"/>
          <w:sz w:val="24"/>
        </w:rPr>
        <w:lastRenderedPageBreak/>
        <w:t>报告发布之日起3个月内予以全部卖出；</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17.</w:t>
      </w:r>
      <w:r>
        <w:rPr>
          <w:rFonts w:hint="eastAsia"/>
        </w:rPr>
        <w:t xml:space="preserve"> </w:t>
      </w:r>
      <w:r>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18.</w:t>
      </w:r>
      <w:r>
        <w:rPr>
          <w:rFonts w:hint="eastAsia"/>
        </w:rPr>
        <w:t xml:space="preserve"> </w:t>
      </w:r>
      <w:r>
        <w:rPr>
          <w:rFonts w:ascii="彩虹粗仿宋" w:eastAsia="彩虹粗仿宋" w:hint="eastAsia"/>
          <w:sz w:val="24"/>
        </w:rPr>
        <w:t>本基金总资产不得超过基金净资产的140%；</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19.</w:t>
      </w:r>
      <w:r>
        <w:rPr>
          <w:rFonts w:hint="eastAsia"/>
        </w:rPr>
        <w:t xml:space="preserve"> </w:t>
      </w:r>
      <w:r>
        <w:rPr>
          <w:rFonts w:ascii="彩虹粗仿宋" w:eastAsia="彩虹粗仿宋" w:hint="eastAsia"/>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20.</w:t>
      </w:r>
      <w:r>
        <w:rPr>
          <w:rFonts w:hint="eastAsia"/>
        </w:rPr>
        <w:t xml:space="preserve"> </w:t>
      </w:r>
      <w:r>
        <w:rPr>
          <w:rFonts w:ascii="彩虹粗仿宋" w:eastAsia="彩虹粗仿宋" w:hint="eastAsia"/>
          <w:sz w:val="24"/>
        </w:rPr>
        <w:t>本基金管理人管理的</w:t>
      </w:r>
      <w:r w:rsidRPr="00CA52A7">
        <w:rPr>
          <w:rFonts w:ascii="彩虹粗仿宋" w:eastAsia="彩虹粗仿宋" w:hint="eastAsia"/>
          <w:sz w:val="24"/>
        </w:rPr>
        <w:t>且在本基金托管人处托管的</w:t>
      </w:r>
      <w:r>
        <w:rPr>
          <w:rFonts w:ascii="彩虹粗仿宋" w:eastAsia="彩虹粗仿宋" w:hint="eastAsia"/>
          <w:sz w:val="24"/>
        </w:rPr>
        <w:t>全部开放式基金持有一家上市公司发行的可流通股票，不得超过该上市公司可流通股票的15%；本基金管理人管理的</w:t>
      </w:r>
      <w:r w:rsidRPr="00CA52A7">
        <w:rPr>
          <w:rFonts w:ascii="彩虹粗仿宋" w:eastAsia="彩虹粗仿宋" w:hint="eastAsia"/>
          <w:sz w:val="24"/>
        </w:rPr>
        <w:t>且在本基金托管人处托管的</w:t>
      </w:r>
      <w:r>
        <w:rPr>
          <w:rFonts w:ascii="彩虹粗仿宋" w:eastAsia="彩虹粗仿宋" w:hint="eastAsia"/>
          <w:sz w:val="24"/>
        </w:rPr>
        <w:t>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sz w:val="24"/>
        </w:rPr>
        <w:t>1</w:t>
      </w:r>
      <w:r>
        <w:rPr>
          <w:rFonts w:ascii="彩虹粗仿宋" w:eastAsia="彩虹粗仿宋" w:hint="eastAsia"/>
          <w:sz w:val="24"/>
        </w:rPr>
        <w:t>.</w:t>
      </w:r>
      <w:r>
        <w:rPr>
          <w:rFonts w:hint="eastAsia"/>
        </w:rPr>
        <w:t xml:space="preserve"> </w:t>
      </w:r>
      <w:r>
        <w:rPr>
          <w:rFonts w:ascii="彩虹粗仿宋" w:eastAsia="彩虹粗仿宋" w:hint="eastAsia"/>
          <w:sz w:val="24"/>
        </w:rPr>
        <w:t>本基金投资存托凭证的比例限制依照境内上市交易的股票执行；</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sz w:val="24"/>
        </w:rPr>
        <w:t>2</w:t>
      </w:r>
      <w:r>
        <w:rPr>
          <w:rFonts w:ascii="彩虹粗仿宋" w:eastAsia="彩虹粗仿宋" w:hint="eastAsia"/>
          <w:sz w:val="24"/>
        </w:rPr>
        <w:t>.法律法规及中国证监会规定的和《基金合同》约定的其他投资限制。</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因证券市场波动、证券发行人合并、基金规模变动等基金管理人之外的因素，致使基金投资比例不符合除上述第3、4、9、16、19项外规定的投资比例的，基金管理人应当在10个交易日内进行调整，但中国证监会规定的特殊情形除外；因证券市场波动、证券发行人合并、基金规模变动等基金管理人之外的因素，致使基金投资比例不符合上述3、4项规定投资比例的，基金管理人应当在20个交易日内进行调整，但中国证监会规定的特殊情形除外。法律法规另有规定的，从其规定。</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如果法律法规或监管部门对上述投资组合比例限制进行变更或取消的，如适用于本基金，基金管理人在履行适当程序后，则本基金投资不再受相关限制或以变更后的规定为准。</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4" w:name="OLE_LINK1"/>
      <w:r>
        <w:rPr>
          <w:rFonts w:ascii="彩虹粗仿宋" w:eastAsia="彩虹粗仿宋" w:hAnsi="宋体" w:cs="Arial" w:hint="eastAsia"/>
          <w:sz w:val="24"/>
        </w:rPr>
        <w:t>根据有关法律法规的规定及《基金合同》的约定，</w:t>
      </w:r>
      <w:bookmarkEnd w:id="4"/>
      <w:r>
        <w:rPr>
          <w:rFonts w:ascii="彩虹粗仿宋" w:eastAsia="彩虹粗仿宋" w:hAnsi="宋体" w:cs="Arial" w:hint="eastAsia"/>
          <w:sz w:val="24"/>
        </w:rPr>
        <w:t>对本托管协议第十五条第九款基金投资禁止行为通过事后监督方式进行监督。</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w:t>
      </w:r>
      <w:r>
        <w:rPr>
          <w:rFonts w:ascii="彩虹粗仿宋" w:eastAsia="彩虹粗仿宋" w:hAnsi="宋体" w:cs="Arial" w:hint="eastAsia"/>
          <w:sz w:val="24"/>
        </w:rPr>
        <w:lastRenderedPageBreak/>
        <w:t>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（四）基金托管人根据有关法律法规的规定及《基金合同》的约定，对基金管理人投资流通受限证券进行监督。</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w:t>
      </w:r>
      <w:r>
        <w:rPr>
          <w:rFonts w:ascii="彩虹粗仿宋" w:eastAsia="彩虹粗仿宋" w:hAnsi="宋体" w:cs="Arial" w:hint="eastAsia"/>
          <w:sz w:val="24"/>
        </w:rPr>
        <w:t>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w:t>
      </w:r>
      <w:r>
        <w:rPr>
          <w:rFonts w:ascii="彩虹粗仿宋" w:eastAsia="彩虹粗仿宋" w:hint="eastAsia"/>
          <w:sz w:val="24"/>
        </w:rPr>
        <w:t>保管本基金资产的责任与损失，及因流通受限证券存管直接影响本基金安全的责任及损失，</w:t>
      </w:r>
      <w:r w:rsidRPr="00CA52A7">
        <w:rPr>
          <w:rFonts w:ascii="彩虹粗仿宋" w:eastAsia="彩虹粗仿宋" w:hint="eastAsia"/>
          <w:sz w:val="24"/>
        </w:rPr>
        <w:t>由基金管理人承担</w:t>
      </w:r>
      <w:r>
        <w:rPr>
          <w:rFonts w:ascii="彩虹粗仿宋" w:eastAsia="彩虹粗仿宋" w:hint="eastAsia"/>
          <w:sz w:val="24"/>
        </w:rPr>
        <w:t>。</w:t>
      </w:r>
      <w:r>
        <w:rPr>
          <w:rFonts w:ascii="彩虹粗仿宋" w:eastAsia="彩虹粗仿宋" w:hAnsi="宋体" w:cs="Arial" w:hint="eastAsia"/>
          <w:sz w:val="24"/>
        </w:rPr>
        <w:t>本基金</w:t>
      </w:r>
      <w:r>
        <w:rPr>
          <w:rFonts w:ascii="彩虹粗仿宋" w:eastAsia="彩虹粗仿宋" w:hint="eastAsia"/>
          <w:sz w:val="24"/>
        </w:rPr>
        <w:t>投</w:t>
      </w:r>
      <w:r>
        <w:rPr>
          <w:rFonts w:ascii="彩虹粗仿宋" w:eastAsia="彩虹粗仿宋" w:hAnsi="宋体" w:cs="Arial" w:hint="eastAsia"/>
          <w:sz w:val="24"/>
        </w:rPr>
        <w:t>资流通受限证券，不得预付任何形式的保证金。若有最新法律法规、监管政策变更规定的，根据最新法律法规、监管政策执行。</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w:t>
      </w:r>
      <w:r>
        <w:rPr>
          <w:rFonts w:ascii="彩虹粗仿宋" w:eastAsia="彩虹粗仿宋" w:hint="eastAsia"/>
          <w:sz w:val="24"/>
        </w:rPr>
        <w:t>并承担所有损失</w:t>
      </w:r>
      <w:r>
        <w:rPr>
          <w:rFonts w:ascii="彩虹粗仿宋" w:eastAsia="彩虹粗仿宋" w:hAnsi="宋体" w:cs="Arial" w:hint="eastAsia"/>
          <w:sz w:val="24"/>
        </w:rPr>
        <w:t>。对本基金因投资流通受限证券导致的流动性风险，基金托管人不承担任何责任。如因基金管理人原</w:t>
      </w:r>
      <w:r>
        <w:rPr>
          <w:rFonts w:ascii="彩虹粗仿宋" w:eastAsia="彩虹粗仿宋" w:hAnsi="宋体" w:cs="Arial" w:hint="eastAsia"/>
          <w:sz w:val="24"/>
        </w:rPr>
        <w:lastRenderedPageBreak/>
        <w:t>因导致本基金出现损失致使基金托管人承担连带赔偿责任的，基金管理人应赔偿基金托管人由此遭受的损失。</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（1）中国证监会批准发行非公开发行股票的文件。</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（2）非公开发行股票有关发行数量、发行价格、锁定期等发行资料。</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w:t>
      </w:r>
      <w:r>
        <w:rPr>
          <w:rFonts w:ascii="彩虹粗仿宋" w:eastAsia="彩虹粗仿宋" w:hAnsi="宋体" w:cs="Arial" w:hint="eastAsia"/>
          <w:sz w:val="24"/>
        </w:rPr>
        <w:t>）基金拟认购的数量、价格、总成本、账面价值。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rsidR="00A74465" w:rsidRDefault="00A74465" w:rsidP="00CA52A7">
      <w:pPr>
        <w:adjustRightInd w:val="0"/>
        <w:snapToGrid w:val="0"/>
        <w:ind w:firstLineChars="200" w:firstLine="420"/>
        <w:rPr>
          <w:rStyle w:val="af2"/>
        </w:rPr>
      </w:pPr>
    </w:p>
    <w:p w:rsidR="005F2534" w:rsidRDefault="002379B6" w:rsidP="00CA52A7">
      <w:pPr>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本基金有关投资流通受限证券比例如违反有关限制规定，在合理期限内未能进行及时调整，基金管理人应在两日内编制临时报告书，予以公告。</w:t>
      </w:r>
    </w:p>
    <w:p w:rsidR="00A74465" w:rsidRDefault="002379B6" w:rsidP="00CA52A7">
      <w:pPr>
        <w:ind w:firstLineChars="200" w:firstLine="480"/>
        <w:rPr>
          <w:rFonts w:ascii="彩虹粗仿宋" w:eastAsia="彩虹粗仿宋" w:hAnsi="宋体" w:cs="Arial"/>
          <w:sz w:val="24"/>
        </w:rPr>
      </w:pPr>
      <w:r>
        <w:rPr>
          <w:rFonts w:ascii="彩虹粗仿宋" w:eastAsia="彩虹粗仿宋" w:hAnsi="宋体" w:cs="Arial" w:hint="eastAsia"/>
          <w:sz w:val="24"/>
        </w:rPr>
        <w:t>5.相关法律法规对基金投资流通受限证券有新规定的，从其规定。</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w:t>
      </w:r>
      <w:r>
        <w:rPr>
          <w:rFonts w:ascii="彩虹粗仿宋" w:eastAsia="彩虹粗仿宋" w:hAnsi="宋体" w:cs="Arial" w:hint="eastAsia"/>
          <w:sz w:val="24"/>
        </w:rPr>
        <w:lastRenderedPageBreak/>
        <w:t>督报告的事项，基金管理人应积极配合提供相关数据资料和制度等。</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（八）若基金托管人发现基金管理人依据交易程序已经生效的指令违反法律、行政法规和其他有关规定，或者违反《基金合同》约定的，应当及时通知基金管理人，由此造成的损失由基金管理人承担。</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当基金持有特定资产且存在或潜在大额赎回申请时，根据最大限度保护基金份额持有人利益的原则，基金管理人经与基金托管人协商一致，并向符合《中华人民共和国证券法》规定的会计师事务所咨询专业意见后，可以依照法律法规及基金合同的约定启用侧袋机制，无需召开基金份额持有人大会审议。</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基金托管人依照相关法律法规的规定和基金合同的约定，对侧袋机制启用、特定资产处置和信息披露等方面进行监督。侧袋机制实施期间的具体规则依照相关法律法规的规定、基金合同和招募说明书的约定执行。</w:t>
      </w:r>
    </w:p>
    <w:p w:rsidR="00A74465" w:rsidRDefault="00A74465">
      <w:pPr>
        <w:rPr>
          <w:rFonts w:ascii="彩虹粗仿宋" w:eastAsia="彩虹粗仿宋"/>
          <w:sz w:val="24"/>
        </w:rPr>
      </w:pPr>
    </w:p>
    <w:p w:rsidR="00A74465" w:rsidRDefault="002379B6">
      <w:pPr>
        <w:pStyle w:val="2"/>
        <w:jc w:val="center"/>
        <w:rPr>
          <w:rFonts w:ascii="彩虹粗仿宋" w:eastAsia="彩虹粗仿宋"/>
          <w:sz w:val="30"/>
        </w:rPr>
      </w:pPr>
      <w:bookmarkStart w:id="5" w:name="_Toc86727355"/>
      <w:bookmarkStart w:id="6" w:name="_Toc86737929"/>
      <w:bookmarkStart w:id="7" w:name="_Toc118212950"/>
      <w:bookmarkStart w:id="8" w:name="_Toc119402710"/>
      <w:bookmarkStart w:id="9" w:name="_Toc86223242"/>
      <w:bookmarkStart w:id="10" w:name="_Toc110830492"/>
      <w:bookmarkStart w:id="11" w:name="_Toc124325888"/>
      <w:bookmarkStart w:id="12" w:name="_Toc86649722"/>
      <w:bookmarkStart w:id="13" w:name="_Toc120435783"/>
      <w:bookmarkStart w:id="14" w:name="_Toc86726439"/>
      <w:bookmarkStart w:id="15" w:name="_Toc110765660"/>
      <w:bookmarkStart w:id="16" w:name="_Toc110761796"/>
      <w:bookmarkStart w:id="17" w:name="_Toc89163368"/>
      <w:bookmarkStart w:id="18" w:name="_Toc108512358"/>
      <w:bookmarkStart w:id="19" w:name="_Toc118774803"/>
      <w:bookmarkStart w:id="20" w:name="_Toc118972648"/>
      <w:bookmarkStart w:id="21" w:name="_Toc86225291"/>
      <w:r>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A74465" w:rsidRDefault="00A74465">
      <w:pPr>
        <w:rPr>
          <w:rFonts w:ascii="彩虹粗仿宋" w:eastAsia="彩虹粗仿宋"/>
          <w:sz w:val="24"/>
        </w:rPr>
      </w:pPr>
    </w:p>
    <w:p w:rsidR="00A74465" w:rsidRDefault="002379B6">
      <w:pPr>
        <w:pStyle w:val="2"/>
        <w:jc w:val="center"/>
        <w:rPr>
          <w:rFonts w:ascii="彩虹粗仿宋" w:eastAsia="彩虹粗仿宋"/>
          <w:sz w:val="30"/>
        </w:rPr>
      </w:pPr>
      <w:bookmarkStart w:id="22" w:name="_Toc89163369"/>
      <w:bookmarkStart w:id="23" w:name="_Toc86225292"/>
      <w:bookmarkStart w:id="24" w:name="_Toc108512359"/>
      <w:bookmarkStart w:id="25" w:name="_Toc86727356"/>
      <w:bookmarkStart w:id="26" w:name="_Toc86726440"/>
      <w:bookmarkStart w:id="27" w:name="_Toc118774804"/>
      <w:bookmarkStart w:id="28" w:name="_Toc84234435"/>
      <w:bookmarkStart w:id="29" w:name="_Toc119402711"/>
      <w:bookmarkStart w:id="30" w:name="_Toc120435784"/>
      <w:bookmarkStart w:id="31" w:name="_Toc86737930"/>
      <w:bookmarkStart w:id="32" w:name="_Toc118972649"/>
      <w:bookmarkStart w:id="33" w:name="_Toc84133786"/>
      <w:bookmarkStart w:id="34" w:name="_Toc110830493"/>
      <w:bookmarkStart w:id="35" w:name="_Toc86204789"/>
      <w:bookmarkStart w:id="36" w:name="_Toc86223243"/>
      <w:bookmarkStart w:id="37" w:name="_Toc118212951"/>
      <w:bookmarkStart w:id="38" w:name="_Toc110765661"/>
      <w:bookmarkStart w:id="39" w:name="_Toc84234388"/>
      <w:bookmarkStart w:id="40" w:name="_Toc124325889"/>
      <w:bookmarkStart w:id="41" w:name="_Toc86649723"/>
      <w:bookmarkStart w:id="42" w:name="_Toc110761797"/>
      <w:r>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是应提供必要的协助。</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w:t>
      </w:r>
      <w:r>
        <w:rPr>
          <w:rFonts w:ascii="彩虹粗仿宋" w:eastAsia="彩虹粗仿宋" w:hAnsi="宋体" w:cs="Arial" w:hint="eastAsia"/>
          <w:sz w:val="24"/>
        </w:rPr>
        <w:lastRenderedPageBreak/>
        <w:t>时间内，聘请符合《中华人民共和国证券法》规定的会计师事务所进行验资，出具验资报告。出具的验资报告由参加验资的2名或2名以上中国注册会计师签字方为有效。</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3.若基金募集期限届满，未能达到《基金合同》生效的条件，由基金管理人按规定办理退款等事宜，基金托管人应提供必要的协助。</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1.基金托管人可以基金的名义在其营业机构开立基金的托管资金账户，并根据基金管理人合法合规的指令办理资金收付。本基金的银行预留印鉴由基金托管人保管和使用。</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2.基金托管资金账户的开立和使用，限于满足开展本基金业务的需要。基金托管人和基金管理人不得假借本基金的名义开立任何其他托管资金账户；亦不得使用基金的任何账户进行本基金业务以外的活动。</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5.基金管理人应于本基金到期后及时完成收益兑付、费用结清及其他应收应付款项资金划转，在确保后续不再发生款项进出后的10个工作日内向托管人发出销户申请。</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证券账户开户费由基金管理人先行垫付,待本基金启始运营后,基金管理人可向基金托管人发送划款指令,将代垫开户费从本基金托管资金账户中扣还基金管理人。</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w:t>
      </w:r>
      <w:r>
        <w:rPr>
          <w:rFonts w:ascii="彩虹粗仿宋" w:eastAsia="彩虹粗仿宋" w:hAnsi="宋体" w:cs="Arial" w:hint="eastAsia"/>
          <w:sz w:val="24"/>
        </w:rPr>
        <w:lastRenderedPageBreak/>
        <w:t>托管人签署的《托管银行证券资金结算协议》执行。</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（六）开放式基金账户的开设和管理</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场外开放式基金账户由管理人根据基金公司要求填写相关资料后开立。管理人应指定托管资金账户作为开放式基金交易及回款的唯一结算账户。管理人应及时将开放式基金账户的信息发送托管人。</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管理人选择通过机构投资者场外投资业务平台（简称"FISP"）参与开放式基金投资的，应由管理人在FISP系统登记产品信息（包含托管人信息），由托管人对银行账户信息进行验证。产品信息登记成功后，由管理人在线向基金销售机构提交开户申请，账户开立信息通过FISP反馈管理人和托管人。</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（七）其他账户的开立和管理</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（八）基金财产投资的有关有价凭证的保管</w:t>
      </w:r>
    </w:p>
    <w:p w:rsidR="00A74465" w:rsidRDefault="002379B6">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（九）与基金财产有关的重大合同的保管</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少于法律法规规定的最低期限。</w:t>
      </w:r>
    </w:p>
    <w:p w:rsidR="00A74465" w:rsidRDefault="002379B6">
      <w:pPr>
        <w:adjustRightInd w:val="0"/>
        <w:snapToGrid w:val="0"/>
        <w:ind w:firstLineChars="200" w:firstLine="480"/>
        <w:rPr>
          <w:rFonts w:ascii="彩虹粗仿宋" w:eastAsia="彩虹粗仿宋"/>
          <w:sz w:val="24"/>
        </w:rPr>
      </w:pPr>
      <w:r>
        <w:rPr>
          <w:rFonts w:ascii="彩虹粗仿宋" w:eastAsia="彩虹粗仿宋" w:hint="eastAsia"/>
          <w:sz w:val="24"/>
        </w:rPr>
        <w:t>对于无法取得二份以上的正本的，基金管理人应向基金托管人提供加盖公章的合同复印件或传真件，未经双方协商一致，原则上合同原件不得转移。</w:t>
      </w:r>
    </w:p>
    <w:p w:rsidR="00A74465" w:rsidRDefault="00A74465">
      <w:pPr>
        <w:rPr>
          <w:rFonts w:ascii="彩虹粗仿宋" w:eastAsia="彩虹粗仿宋"/>
          <w:sz w:val="24"/>
        </w:rPr>
      </w:pPr>
    </w:p>
    <w:p w:rsidR="00A74465" w:rsidRDefault="002379B6">
      <w:pPr>
        <w:pStyle w:val="2"/>
        <w:jc w:val="center"/>
        <w:rPr>
          <w:rFonts w:ascii="彩虹粗仿宋" w:eastAsia="彩虹粗仿宋"/>
          <w:sz w:val="30"/>
        </w:rPr>
      </w:pPr>
      <w:bookmarkStart w:id="43" w:name="_Toc110761798"/>
      <w:bookmarkStart w:id="44" w:name="_Toc119402712"/>
      <w:bookmarkStart w:id="45" w:name="_Toc118212952"/>
      <w:bookmarkStart w:id="46" w:name="_Toc86225293"/>
      <w:bookmarkStart w:id="47" w:name="_Toc84234389"/>
      <w:bookmarkStart w:id="48" w:name="_Toc86649724"/>
      <w:bookmarkStart w:id="49" w:name="_Toc86204790"/>
      <w:bookmarkStart w:id="50" w:name="_Toc108512360"/>
      <w:bookmarkStart w:id="51" w:name="_Toc86223244"/>
      <w:bookmarkStart w:id="52" w:name="_Toc124325890"/>
      <w:bookmarkStart w:id="53" w:name="_Toc110765662"/>
      <w:bookmarkStart w:id="54" w:name="_Toc118774805"/>
      <w:bookmarkStart w:id="55" w:name="_Toc89163370"/>
      <w:bookmarkStart w:id="56" w:name="_Toc118972650"/>
      <w:bookmarkStart w:id="57" w:name="_Toc110830494"/>
      <w:bookmarkStart w:id="58" w:name="_Toc86726441"/>
      <w:bookmarkStart w:id="59" w:name="_Toc84234436"/>
      <w:bookmarkStart w:id="60" w:name="_Toc86737931"/>
      <w:bookmarkStart w:id="61" w:name="_Toc86727357"/>
      <w:bookmarkStart w:id="62" w:name="_Toc120435785"/>
      <w:bookmarkStart w:id="63" w:name="_Toc84133787"/>
      <w:r>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 并加盖单位公章。</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4.基金管理人和基金托管人对授权文件负有保密义务，其内容不得向被授权人及相关操作人员以外的任何人泄露。但法律法规另有规定或有权机关要求的除外。</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1.指令的发送</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在其授权范围内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rsidR="00A74465" w:rsidRDefault="002379B6">
      <w:pPr>
        <w:pStyle w:val="a7"/>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rsidR="00A74465" w:rsidRDefault="002379B6">
      <w:pPr>
        <w:pStyle w:val="a7"/>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基金托管人发现基金管理人的指令错误时，有权拒绝执行，并及时通知基金</w:t>
      </w:r>
      <w:r>
        <w:rPr>
          <w:rFonts w:ascii="彩虹粗仿宋" w:eastAsia="彩虹粗仿宋" w:hAnsi="宋体" w:cs="Arial" w:hint="eastAsia"/>
          <w:sz w:val="24"/>
        </w:rPr>
        <w:lastRenderedPageBreak/>
        <w:t>管理人改正。如需托管人撤销尚未执行的指令，基金管理人应出具作废指令或作废说明，并电话通知托管人。</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（六）更换被授权人员的程序</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基金托管人更换接收基金管理人指令的传真号或邮箱地址，应提前通知基金管理人。</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（七）其他事项</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正确、及时执行基金管理人的有效指令对基金财产造成的损失不承担赔偿责任。</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A74465" w:rsidRDefault="00A74465">
      <w:pPr>
        <w:adjustRightInd w:val="0"/>
        <w:snapToGrid w:val="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64" w:name="_Toc110761799"/>
      <w:bookmarkStart w:id="65" w:name="_Toc118212953"/>
      <w:bookmarkStart w:id="66" w:name="_Toc84234390"/>
      <w:bookmarkStart w:id="67" w:name="_Toc89163371"/>
      <w:bookmarkStart w:id="68" w:name="_Toc86225294"/>
      <w:bookmarkStart w:id="69" w:name="_Toc86737932"/>
      <w:bookmarkStart w:id="70" w:name="_Toc86727358"/>
      <w:bookmarkStart w:id="71" w:name="_Toc86204791"/>
      <w:bookmarkStart w:id="72" w:name="_Toc84133788"/>
      <w:bookmarkStart w:id="73" w:name="_Toc110830495"/>
      <w:bookmarkStart w:id="74" w:name="_Toc84234437"/>
      <w:bookmarkStart w:id="75" w:name="_Toc120435786"/>
      <w:bookmarkStart w:id="76" w:name="_Toc86223245"/>
      <w:bookmarkStart w:id="77" w:name="_Toc108512361"/>
      <w:bookmarkStart w:id="78" w:name="_Toc124325891"/>
      <w:bookmarkStart w:id="79" w:name="_Toc110765663"/>
      <w:bookmarkStart w:id="80" w:name="_Toc118774806"/>
      <w:bookmarkStart w:id="81" w:name="_Toc86726442"/>
      <w:bookmarkStart w:id="82" w:name="_Toc118972651"/>
      <w:bookmarkStart w:id="83" w:name="_Toc119402713"/>
      <w:bookmarkStart w:id="84" w:name="_Toc86649725"/>
      <w:r>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（一）选择证券买卖的证券经营机构</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w:t>
      </w:r>
      <w:r>
        <w:rPr>
          <w:rFonts w:ascii="彩虹粗仿宋" w:eastAsia="彩虹粗仿宋" w:hAnsi="宋体" w:cs="Arial" w:hint="eastAsia"/>
          <w:sz w:val="24"/>
        </w:rPr>
        <w:lastRenderedPageBreak/>
        <w:t>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 结算备付金与保证金</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中国证券登记结算有限责任公司分别于每月前</w:t>
      </w:r>
      <w:r>
        <w:rPr>
          <w:rFonts w:ascii="彩虹粗仿宋" w:eastAsia="彩虹粗仿宋" w:hAnsi="宋体" w:cs="Arial"/>
          <w:sz w:val="24"/>
        </w:rPr>
        <w:t>6个交易日</w:t>
      </w:r>
      <w:r>
        <w:rPr>
          <w:rFonts w:ascii="彩虹粗仿宋" w:eastAsia="彩虹粗仿宋" w:hAnsi="宋体" w:cs="Arial" w:hint="eastAsia"/>
          <w:sz w:val="24"/>
        </w:rPr>
        <w:t>及每月前</w:t>
      </w:r>
      <w:r>
        <w:rPr>
          <w:rFonts w:ascii="彩虹粗仿宋" w:eastAsia="彩虹粗仿宋" w:hAnsi="宋体" w:cs="Arial"/>
          <w:sz w:val="24"/>
        </w:rPr>
        <w:t>3个交易日内，对结算参与人最低备付金限额与结算保证金限额进行重新核算、调整。基金托管人</w:t>
      </w:r>
      <w:r>
        <w:rPr>
          <w:rFonts w:ascii="彩虹粗仿宋" w:eastAsia="彩虹粗仿宋" w:hAnsi="宋体" w:cs="Arial" w:hint="eastAsia"/>
          <w:sz w:val="24"/>
        </w:rPr>
        <w:t>应分别于每月前</w:t>
      </w:r>
      <w:r>
        <w:rPr>
          <w:rFonts w:ascii="彩虹粗仿宋" w:eastAsia="彩虹粗仿宋" w:hAnsi="宋体" w:cs="Arial"/>
          <w:sz w:val="24"/>
        </w:rPr>
        <w:t>3个交易日内及结算保证金调整当日通过《资金账户报告》通知基金管理人</w:t>
      </w:r>
      <w:r>
        <w:rPr>
          <w:rFonts w:ascii="彩虹粗仿宋" w:eastAsia="彩虹粗仿宋" w:hAnsi="宋体" w:cs="Arial" w:hint="eastAsia"/>
          <w:sz w:val="24"/>
        </w:rPr>
        <w:t>本基金最低备付金调整金额以及调整后的结算保证金金额。</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1）固定备付金比例</w:t>
      </w:r>
      <w:r>
        <w:rPr>
          <w:rFonts w:ascii="彩虹粗仿宋" w:eastAsia="彩虹粗仿宋" w:hAnsi="宋体" w:cs="Arial" w:hint="eastAsia"/>
          <w:sz w:val="24"/>
        </w:rPr>
        <w:t>计收方式下，基金管理人应在调整最低备付金、结算保证金当日上午</w:t>
      </w:r>
      <w:r>
        <w:rPr>
          <w:rFonts w:ascii="彩虹粗仿宋" w:eastAsia="彩虹粗仿宋" w:hAnsi="宋体" w:cs="Arial"/>
          <w:sz w:val="24"/>
        </w:rPr>
        <w:t>11</w:t>
      </w:r>
      <w:r>
        <w:rPr>
          <w:rFonts w:ascii="彩虹粗仿宋" w:eastAsia="彩虹粗仿宋" w:hAnsi="宋体" w:cs="Arial" w:hint="eastAsia"/>
          <w:sz w:val="24"/>
        </w:rPr>
        <w:t>：</w:t>
      </w:r>
      <w:r>
        <w:rPr>
          <w:rFonts w:ascii="彩虹粗仿宋" w:eastAsia="彩虹粗仿宋" w:hAnsi="宋体" w:cs="Arial"/>
          <w:sz w:val="24"/>
        </w:rPr>
        <w:t>00之前补足</w:t>
      </w:r>
      <w:r>
        <w:rPr>
          <w:rFonts w:ascii="彩虹粗仿宋" w:eastAsia="彩虹粗仿宋" w:hAnsi="宋体" w:cs="Arial" w:hint="eastAsia"/>
          <w:sz w:val="24"/>
        </w:rPr>
        <w:t>金额。</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2）差异化备付金比例</w:t>
      </w:r>
      <w:r>
        <w:rPr>
          <w:rFonts w:ascii="彩虹粗仿宋" w:eastAsia="彩虹粗仿宋" w:hAnsi="宋体" w:cs="Arial" w:hint="eastAsia"/>
          <w:sz w:val="24"/>
        </w:rPr>
        <w:t>计收方式下，基金管理人应最晚于资金交收日上午</w:t>
      </w:r>
      <w:r>
        <w:rPr>
          <w:rFonts w:ascii="彩虹粗仿宋" w:eastAsia="彩虹粗仿宋" w:hAnsi="宋体" w:cs="Arial"/>
          <w:sz w:val="24"/>
        </w:rPr>
        <w:t>8：30前补足金额</w:t>
      </w:r>
      <w:r>
        <w:rPr>
          <w:rFonts w:ascii="彩虹粗仿宋" w:eastAsia="彩虹粗仿宋" w:hAnsi="宋体" w:cs="Arial" w:hint="eastAsia"/>
          <w:sz w:val="24"/>
        </w:rPr>
        <w:t>。</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w:t>
      </w:r>
      <w:r>
        <w:rPr>
          <w:rFonts w:ascii="彩虹粗仿宋" w:eastAsia="彩虹粗仿宋" w:hAnsi="宋体" w:cs="Arial"/>
          <w:sz w:val="24"/>
        </w:rPr>
        <w:t>清算交收</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通知基金管理人预透支和预欠库事项</w:t>
      </w:r>
      <w:r>
        <w:rPr>
          <w:rFonts w:hint="eastAsia"/>
          <w:color w:val="000000"/>
        </w:rPr>
        <w:t>，</w:t>
      </w:r>
      <w:r>
        <w:rPr>
          <w:rFonts w:ascii="彩虹粗仿宋" w:eastAsia="彩虹粗仿宋" w:hAnsi="宋体" w:cs="Arial" w:hint="eastAsia"/>
          <w:sz w:val="24"/>
        </w:rPr>
        <w:t>基金管理人</w:t>
      </w:r>
      <w:r>
        <w:rPr>
          <w:rFonts w:ascii="彩虹粗仿宋" w:eastAsia="彩虹粗仿宋" w:hAnsi="宋体" w:cs="Arial" w:hint="eastAsia"/>
          <w:sz w:val="24"/>
        </w:rPr>
        <w:lastRenderedPageBreak/>
        <w:t>应保持联系方式畅通，后续补缴等事宜由基金管理人负责解决，由此给基金托管人、本基金和基金托管人托管的其他资产造成的直接损失由基金管理人承担。</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基金管理人应采取合理、必要措施，确保</w:t>
      </w:r>
      <w:r>
        <w:rPr>
          <w:rFonts w:ascii="彩虹粗仿宋" w:eastAsia="彩虹粗仿宋" w:hAnsi="宋体" w:cs="Arial"/>
          <w:sz w:val="24"/>
        </w:rPr>
        <w:t>T日日终有足够的资金头寸完成 T+1日中国证券登记结算有限责任公司的资金交收；如因基金管理</w:t>
      </w:r>
      <w:r>
        <w:rPr>
          <w:rFonts w:ascii="彩虹粗仿宋" w:eastAsia="彩虹粗仿宋" w:hAnsi="宋体" w:cs="Arial" w:hint="eastAsia"/>
          <w:sz w:val="24"/>
        </w:rPr>
        <w:t>人原因导致资金头寸不足，基金管理人应视基金托管人最低结算备付金比例计收方式分别于下列时点补足透支金额：</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1）固定备付金比例计收方式下，基金管理人应最晚于资金</w:t>
      </w:r>
      <w:r>
        <w:rPr>
          <w:rFonts w:ascii="彩虹粗仿宋" w:eastAsia="彩虹粗仿宋" w:hAnsi="宋体" w:cs="Arial" w:hint="eastAsia"/>
          <w:sz w:val="24"/>
        </w:rPr>
        <w:t>交收日上午</w:t>
      </w:r>
      <w:r>
        <w:rPr>
          <w:rFonts w:ascii="彩虹粗仿宋" w:eastAsia="彩虹粗仿宋" w:hAnsi="宋体" w:cs="Arial"/>
          <w:sz w:val="24"/>
        </w:rPr>
        <w:t>11：00前补足金额。</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2）差异化备付金比例计收方式下，基金管理人应最晚于资金</w:t>
      </w:r>
      <w:r>
        <w:rPr>
          <w:rFonts w:ascii="彩虹粗仿宋" w:eastAsia="彩虹粗仿宋" w:hAnsi="宋体" w:cs="Arial" w:hint="eastAsia"/>
          <w:sz w:val="24"/>
        </w:rPr>
        <w:t>交收日上午</w:t>
      </w:r>
      <w:r>
        <w:rPr>
          <w:rFonts w:ascii="彩虹粗仿宋" w:eastAsia="彩虹粗仿宋" w:hAnsi="宋体" w:cs="Arial"/>
          <w:sz w:val="24"/>
        </w:rPr>
        <w:t>8：30前补足金额。</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基金管理人未遵循上述规定备足资金头寸，影响基金资产的清算交收及基金托管人与中国证券登记结算有限责任公司之间的一级清算，由此给基金托管人、基金资产和基金托管人托管的其他资产造成的直接损失由基金管理人负责。</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过错造成债券回购交收违约或因折算率变化造成质押欠库，导致中国证券登记结算有限责任公司欠库扣款或对质押券进行处置造成的投资风险和损失由基金管理人承担。</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.交易记录、资金和证券账目核对的时间和方式</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基金管理人和基金托管人每交易日结束后核对基金证券账目，确保双方账目</w:t>
      </w:r>
      <w:r>
        <w:rPr>
          <w:rFonts w:ascii="彩虹粗仿宋" w:eastAsia="彩虹粗仿宋" w:hAnsi="宋体" w:cs="Arial" w:hint="eastAsia"/>
          <w:sz w:val="24"/>
        </w:rPr>
        <w:lastRenderedPageBreak/>
        <w:t>相符。</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基金的数据传送给基金托管人。基金管理人应对传递的申购、赎回、转换基金的数据真实性负责。基金托管人应及时查收申购及转入资金的到账情况并根据基金管理人指令及时划付赎回及转出款项。</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提供必要的协助。</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托管资金账户有足够的资金，基金托管人应按时拨付；因基金托管资金账户没有足够的资金，导致基金托管人不能按时拨付，如系基金管理人的过错造成，责任由基金管理人承担，基金托管人不承担垫款义务。</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sz w:val="24"/>
        </w:rPr>
        <w:t>（四）申赎净额结算</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sz w:val="24"/>
        </w:rPr>
        <w:lastRenderedPageBreak/>
        <w:t>基金托管资金账户与</w:t>
      </w:r>
      <w:r>
        <w:rPr>
          <w:rFonts w:ascii="彩虹粗仿宋" w:eastAsia="彩虹粗仿宋" w:hAnsi="宋体" w:cs="Arial"/>
          <w:sz w:val="24"/>
        </w:rPr>
        <w:t>“</w:t>
      </w:r>
      <w:r>
        <w:rPr>
          <w:rFonts w:ascii="彩虹粗仿宋" w:eastAsia="彩虹粗仿宋" w:hAnsi="宋体" w:cs="Arial"/>
          <w:sz w:val="24"/>
        </w:rPr>
        <w:t>基金清算账户</w:t>
      </w:r>
      <w:r>
        <w:rPr>
          <w:rFonts w:ascii="彩虹粗仿宋" w:eastAsia="彩虹粗仿宋" w:hAnsi="宋体" w:cs="Arial"/>
          <w:sz w:val="24"/>
        </w:rPr>
        <w:t>”</w:t>
      </w:r>
      <w:r>
        <w:rPr>
          <w:rFonts w:ascii="彩虹粗仿宋" w:eastAsia="彩虹粗仿宋" w:hAnsi="宋体" w:cs="Arial"/>
          <w:sz w:val="24"/>
        </w:rPr>
        <w:t>间的资金结算遵循</w:t>
      </w:r>
      <w:r>
        <w:rPr>
          <w:rFonts w:ascii="彩虹粗仿宋" w:eastAsia="彩虹粗仿宋" w:hAnsi="宋体" w:cs="Arial"/>
          <w:sz w:val="24"/>
        </w:rPr>
        <w:t>“</w:t>
      </w:r>
      <w:r>
        <w:rPr>
          <w:rFonts w:ascii="彩虹粗仿宋" w:eastAsia="彩虹粗仿宋" w:hAnsi="宋体" w:cs="Arial"/>
          <w:sz w:val="24"/>
        </w:rPr>
        <w:t>全额清算、净额交收</w:t>
      </w:r>
      <w:r>
        <w:rPr>
          <w:rFonts w:ascii="彩虹粗仿宋" w:eastAsia="彩虹粗仿宋" w:hAnsi="宋体" w:cs="Arial"/>
          <w:sz w:val="24"/>
        </w:rPr>
        <w:t>”</w:t>
      </w:r>
      <w:r>
        <w:rPr>
          <w:rFonts w:ascii="彩虹粗仿宋" w:eastAsia="彩虹粗仿宋" w:hAnsi="宋体" w:cs="Arial"/>
          <w:sz w:val="24"/>
        </w:rPr>
        <w:t>的原则，</w:t>
      </w:r>
      <w:r>
        <w:rPr>
          <w:rFonts w:ascii="彩虹粗仿宋" w:eastAsia="彩虹粗仿宋" w:hAnsi="宋体" w:cs="Arial" w:hint="eastAsia"/>
          <w:sz w:val="24"/>
        </w:rPr>
        <w:t>按照托管资金账户当日应收资金(包括申购资金及基金转换转入款)与应付资金(含赎回资金、赎回费、基金转换转出款及转换费)的差额来确定托管资金账户净应收额或净应付额，以此确定资金交收额。当T日(T指交收当前工作日)存在托管资金账户净应收额时，基金管理人应在T日15:00之前从基金清算账户划到基金托管资金账户；当T日(T指交收当前工作日)存在托管资金账户净应付额时，基金管理人应在T日10:00前将划款指令发送给基金托管人，基金托管人按基金管理人的划款指令将托管资金账户净应付额在T日15:00之前划往基金清算账户。</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1.在本基金开展转换业务之前，基金管理人应函告基金托管人并就相关事宜进行协商。</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依照规定在中国证监会规定媒介上公告</w:t>
      </w:r>
      <w:r>
        <w:rPr>
          <w:rFonts w:ascii="彩虹粗仿宋" w:eastAsia="彩虹粗仿宋" w:hAnsi="宋体" w:cs="Arial" w:hint="eastAsia"/>
          <w:sz w:val="24"/>
        </w:rPr>
        <w:t>。</w:t>
      </w:r>
    </w:p>
    <w:p w:rsidR="00A74465" w:rsidRDefault="002379B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（七）投资银行存款的特别约定</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（1）存款账户必须以本基金名义开立,并将基金托管人为本基金开立的基金托管资金账户指定为唯一回款账户，任何情况下，存款银行都不得将存款投资本息划往任何其他账户。</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lastRenderedPageBreak/>
        <w:t>（4）资金划转过程中需要使用存款银行过渡账户的，存款银行须保证资金在过渡账户中不出现滞留，不被挪用。</w:t>
      </w:r>
    </w:p>
    <w:p w:rsidR="00A74465" w:rsidRDefault="002379B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托管行保管后解除。实物凭证未送达但存款本息已安全划回托管资金账户的，以及因发生特殊情况由管理人提供相关书面说明并重新承诺送单截止时间的，可剔除不计。</w:t>
      </w:r>
    </w:p>
    <w:p w:rsidR="00A74465" w:rsidRPr="00CA52A7" w:rsidRDefault="002379B6" w:rsidP="00CA52A7">
      <w:pPr>
        <w:spacing w:line="360" w:lineRule="auto"/>
        <w:ind w:firstLineChars="200" w:firstLine="480"/>
        <w:rPr>
          <w:rFonts w:ascii="彩虹粗仿宋" w:eastAsia="彩虹粗仿宋" w:hAnsi="宋体" w:cs="Arial"/>
          <w:sz w:val="24"/>
        </w:rPr>
      </w:pPr>
      <w:r w:rsidRPr="00CA52A7">
        <w:rPr>
          <w:rFonts w:ascii="彩虹粗仿宋" w:eastAsia="彩虹粗仿宋" w:hAnsi="宋体" w:cs="Arial" w:hint="eastAsia"/>
          <w:sz w:val="24"/>
        </w:rPr>
        <w:t>（八）</w:t>
      </w:r>
      <w:r>
        <w:rPr>
          <w:rFonts w:ascii="彩虹粗仿宋" w:eastAsia="彩虹粗仿宋" w:hAnsi="宋体" w:cs="Arial" w:hint="eastAsia"/>
          <w:sz w:val="24"/>
        </w:rPr>
        <w:t>本基金</w:t>
      </w:r>
      <w:r w:rsidRPr="00CA52A7">
        <w:rPr>
          <w:rFonts w:ascii="彩虹粗仿宋" w:eastAsia="彩虹粗仿宋" w:hAnsi="宋体" w:cs="Arial" w:hint="eastAsia"/>
          <w:sz w:val="24"/>
        </w:rPr>
        <w:t>通过第三方</w:t>
      </w:r>
      <w:r>
        <w:rPr>
          <w:rFonts w:ascii="彩虹粗仿宋" w:eastAsia="彩虹粗仿宋" w:hAnsi="宋体" w:cs="Arial" w:hint="eastAsia"/>
          <w:sz w:val="24"/>
        </w:rPr>
        <w:t>基金</w:t>
      </w:r>
      <w:r w:rsidRPr="00CA52A7">
        <w:rPr>
          <w:rFonts w:ascii="彩虹粗仿宋" w:eastAsia="彩虹粗仿宋" w:hAnsi="宋体" w:cs="Arial" w:hint="eastAsia"/>
          <w:sz w:val="24"/>
        </w:rPr>
        <w:t>销售机构参与开放式基金投资的特别约定</w:t>
      </w:r>
    </w:p>
    <w:p w:rsidR="00A74465" w:rsidRPr="00CA52A7" w:rsidRDefault="002379B6" w:rsidP="00CA52A7">
      <w:pPr>
        <w:spacing w:line="360" w:lineRule="auto"/>
        <w:ind w:firstLineChars="200" w:firstLine="480"/>
        <w:rPr>
          <w:rFonts w:ascii="彩虹粗仿宋" w:eastAsia="彩虹粗仿宋" w:hAnsi="宋体" w:cs="Arial"/>
          <w:sz w:val="24"/>
        </w:rPr>
      </w:pPr>
      <w:r w:rsidRPr="00CA52A7">
        <w:rPr>
          <w:rFonts w:ascii="彩虹粗仿宋" w:eastAsia="彩虹粗仿宋" w:hAnsi="宋体" w:cs="Arial" w:hint="eastAsia"/>
          <w:sz w:val="24"/>
        </w:rPr>
        <w:t>本</w:t>
      </w:r>
      <w:r>
        <w:rPr>
          <w:rFonts w:ascii="彩虹粗仿宋" w:eastAsia="彩虹粗仿宋" w:hAnsi="宋体" w:cs="Arial"/>
          <w:sz w:val="24"/>
        </w:rPr>
        <w:t>基金</w:t>
      </w:r>
      <w:r w:rsidRPr="00CA52A7">
        <w:rPr>
          <w:rFonts w:ascii="彩虹粗仿宋" w:eastAsia="彩虹粗仿宋" w:hAnsi="宋体" w:cs="Arial" w:hint="eastAsia"/>
          <w:sz w:val="24"/>
        </w:rPr>
        <w:t>可以通过第三方基金销售机构渠道投资开放式基金。为维护</w:t>
      </w:r>
      <w:r>
        <w:rPr>
          <w:rFonts w:ascii="彩虹粗仿宋" w:eastAsia="彩虹粗仿宋" w:hAnsi="宋体" w:cs="Arial" w:hint="eastAsia"/>
          <w:sz w:val="24"/>
        </w:rPr>
        <w:t>基金份额</w:t>
      </w:r>
      <w:r w:rsidRPr="00CA52A7">
        <w:rPr>
          <w:rFonts w:ascii="彩虹粗仿宋" w:eastAsia="彩虹粗仿宋" w:hAnsi="宋体" w:cs="Arial" w:hint="eastAsia"/>
          <w:sz w:val="24"/>
        </w:rPr>
        <w:t>持有人利益、保障资产安全，管理人应负责制订选择第三方基金销售机构的标准和程序，并据此选择第三方</w:t>
      </w:r>
      <w:r>
        <w:rPr>
          <w:rFonts w:ascii="彩虹粗仿宋" w:eastAsia="彩虹粗仿宋" w:hAnsi="宋体" w:cs="Arial" w:hint="eastAsia"/>
          <w:sz w:val="24"/>
        </w:rPr>
        <w:t>基金</w:t>
      </w:r>
      <w:r w:rsidRPr="00CA52A7">
        <w:rPr>
          <w:rFonts w:ascii="彩虹粗仿宋" w:eastAsia="彩虹粗仿宋" w:hAnsi="宋体" w:cs="Arial" w:hint="eastAsia"/>
          <w:sz w:val="24"/>
        </w:rPr>
        <w:t>销售机构。对于第三方基金销售机构原因给本</w:t>
      </w:r>
      <w:r>
        <w:rPr>
          <w:rFonts w:ascii="彩虹粗仿宋" w:eastAsia="彩虹粗仿宋" w:hAnsi="宋体" w:cs="Arial" w:hint="eastAsia"/>
          <w:sz w:val="24"/>
        </w:rPr>
        <w:t>基金</w:t>
      </w:r>
      <w:r w:rsidRPr="00CA52A7">
        <w:rPr>
          <w:rFonts w:ascii="彩虹粗仿宋" w:eastAsia="彩虹粗仿宋" w:hAnsi="宋体" w:cs="Arial" w:hint="eastAsia"/>
          <w:sz w:val="24"/>
        </w:rPr>
        <w:t>造成损失的，相关责任由</w:t>
      </w:r>
      <w:r>
        <w:rPr>
          <w:rFonts w:ascii="彩虹粗仿宋" w:eastAsia="彩虹粗仿宋" w:hAnsi="宋体" w:cs="Arial" w:hint="eastAsia"/>
          <w:sz w:val="24"/>
        </w:rPr>
        <w:t>管理人</w:t>
      </w:r>
      <w:r w:rsidRPr="00CA52A7">
        <w:rPr>
          <w:rFonts w:ascii="彩虹粗仿宋" w:eastAsia="彩虹粗仿宋" w:hAnsi="宋体" w:cs="Arial" w:hint="eastAsia"/>
          <w:sz w:val="24"/>
        </w:rPr>
        <w:t>承担。</w:t>
      </w:r>
    </w:p>
    <w:p w:rsidR="00A74465" w:rsidRDefault="00A74465">
      <w:pPr>
        <w:adjustRightInd w:val="0"/>
        <w:snapToGrid w:val="0"/>
        <w:ind w:firstLineChars="200" w:firstLine="48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85" w:name="_Toc124325892"/>
      <w:r>
        <w:rPr>
          <w:rFonts w:ascii="彩虹粗仿宋" w:eastAsia="彩虹粗仿宋" w:hint="eastAsia"/>
          <w:sz w:val="30"/>
        </w:rPr>
        <w:t xml:space="preserve"> 八、基金资产净值计算和会计核算</w:t>
      </w:r>
      <w:bookmarkEnd w:id="85"/>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lastRenderedPageBreak/>
        <w:t>1.基金资产净值是指基金资产总值减去基金负债后的金额。各类基金份额净值是按照每个</w:t>
      </w:r>
      <w:r>
        <w:rPr>
          <w:rFonts w:ascii="彩虹粗仿宋" w:eastAsia="彩虹粗仿宋" w:hAnsi="宋体" w:cs="Arial" w:hint="eastAsia"/>
          <w:sz w:val="24"/>
        </w:rPr>
        <w:t>估值日</w:t>
      </w:r>
      <w:r>
        <w:rPr>
          <w:rFonts w:ascii="彩虹粗仿宋" w:eastAsia="彩虹粗仿宋" w:hAnsi="宋体" w:cs="Arial"/>
          <w:sz w:val="24"/>
        </w:rPr>
        <w:t>相应类别的基金资产净值除以当日该类基金份额的余额数量计算，均精确到0.0001元，小数点后第五位四舍五入，由此产生的误差计入基金财产。基金管理人可以设立大额赎回情形下的净值精度应急调整机制。国家另有规定的，从其规定。</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基金管理人于每个</w:t>
      </w:r>
      <w:r>
        <w:rPr>
          <w:rFonts w:ascii="彩虹粗仿宋" w:eastAsia="彩虹粗仿宋" w:hAnsi="宋体" w:cs="Arial" w:hint="eastAsia"/>
          <w:sz w:val="24"/>
        </w:rPr>
        <w:t>估值日</w:t>
      </w:r>
      <w:r>
        <w:rPr>
          <w:rFonts w:ascii="彩虹粗仿宋" w:eastAsia="彩虹粗仿宋" w:hAnsi="宋体" w:cs="Arial"/>
          <w:sz w:val="24"/>
        </w:rPr>
        <w:t>计算各类基金份额的基金资产净值及基金份额净值，并按规定公告。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2.基金管理人应每个</w:t>
      </w:r>
      <w:r>
        <w:rPr>
          <w:rFonts w:ascii="彩虹粗仿宋" w:eastAsia="彩虹粗仿宋" w:hAnsi="宋体" w:cs="Arial" w:hint="eastAsia"/>
          <w:sz w:val="24"/>
        </w:rPr>
        <w:t>估值日</w:t>
      </w:r>
      <w:r>
        <w:rPr>
          <w:rFonts w:ascii="彩虹粗仿宋" w:eastAsia="彩虹粗仿宋" w:hAnsi="宋体" w:cs="Arial"/>
          <w:sz w:val="24"/>
        </w:rPr>
        <w:t>对基金资产估值。但基金管理人根据法律法规或《基金合同》的约定暂停估值时除外。基金管理人每个</w:t>
      </w:r>
      <w:r>
        <w:rPr>
          <w:rFonts w:ascii="彩虹粗仿宋" w:eastAsia="彩虹粗仿宋" w:hAnsi="宋体" w:cs="Arial" w:hint="eastAsia"/>
          <w:sz w:val="24"/>
        </w:rPr>
        <w:t>估值日</w:t>
      </w:r>
      <w:r>
        <w:rPr>
          <w:rFonts w:ascii="彩虹粗仿宋" w:eastAsia="彩虹粗仿宋" w:hAnsi="宋体" w:cs="Arial"/>
          <w:sz w:val="24"/>
        </w:rPr>
        <w:t>对基金资产估值后将各类基金份额净值结果发送基金托管人，经基金托管人复核无误后，由基金管理人依据基金合同和相关法律法规的规定对外公布。</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（二）基金资产估值方法和特殊情形的处理</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1.估值对象</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基金所拥有的</w:t>
      </w:r>
      <w:r>
        <w:rPr>
          <w:rFonts w:ascii="彩虹粗仿宋" w:eastAsia="彩虹粗仿宋" w:hAnsi="宋体" w:cs="Arial" w:hint="eastAsia"/>
          <w:sz w:val="24"/>
        </w:rPr>
        <w:t>证券投资基金、</w:t>
      </w:r>
      <w:r>
        <w:rPr>
          <w:rFonts w:ascii="彩虹粗仿宋" w:eastAsia="彩虹粗仿宋" w:hAnsi="宋体" w:cs="Arial"/>
          <w:sz w:val="24"/>
        </w:rPr>
        <w:t>股票、存托凭证、债券、资产支持证券、和银行存款本息、应收款项、其它投资等资产及负债。</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2.估值方法</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本基金所持有的投资品种，按如下原则进行估值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（1）基金的估值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1）本基金投资于非上市基金的估值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①</w:t>
      </w:r>
      <w:r>
        <w:rPr>
          <w:rFonts w:ascii="彩虹粗仿宋" w:eastAsia="彩虹粗仿宋" w:hAnsi="宋体" w:cs="Arial" w:hint="eastAsia"/>
          <w:sz w:val="24"/>
        </w:rPr>
        <w:t>本基金投资的境内非货币市场基金，按所投资基金估值日的份额净值估值。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②</w:t>
      </w:r>
      <w:r>
        <w:rPr>
          <w:rFonts w:ascii="彩虹粗仿宋" w:eastAsia="彩虹粗仿宋" w:hAnsi="宋体" w:cs="Arial" w:hint="eastAsia"/>
          <w:sz w:val="24"/>
        </w:rPr>
        <w:t>本基金投资的境内货币市场基金，按所投资基金前一估值日后至估值日期间（含节假日） 的万份（百份）收益计提估值日基金收益。如所投资的境内货币市场基金披露份额净值，则按所投资基金估值日的份额净值估值。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2）本基金投资于上市基金的估值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①</w:t>
      </w:r>
      <w:r>
        <w:rPr>
          <w:rFonts w:ascii="彩虹粗仿宋" w:eastAsia="彩虹粗仿宋" w:hAnsi="宋体" w:cs="Arial" w:hint="eastAsia"/>
          <w:sz w:val="24"/>
        </w:rPr>
        <w:t>本基金投资的ETF基金，按所投资ETF基金估值日的收盘价估值。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②</w:t>
      </w:r>
      <w:r>
        <w:rPr>
          <w:rFonts w:ascii="彩虹粗仿宋" w:eastAsia="彩虹粗仿宋" w:hAnsi="宋体" w:cs="Arial" w:hint="eastAsia"/>
          <w:sz w:val="24"/>
        </w:rPr>
        <w:t>本基金投资的境内上市开放式基金（LOF），按所投资基金估值日的份额净值估值。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③</w:t>
      </w:r>
      <w:r>
        <w:rPr>
          <w:rFonts w:ascii="彩虹粗仿宋" w:eastAsia="彩虹粗仿宋" w:hAnsi="宋体" w:cs="Arial" w:hint="eastAsia"/>
          <w:sz w:val="24"/>
        </w:rPr>
        <w:t>本基金投资的境内上市定期开放式基金、封闭式基金，按所投资基金估值日的收盘价估值。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④</w:t>
      </w:r>
      <w:r>
        <w:rPr>
          <w:rFonts w:ascii="彩虹粗仿宋" w:eastAsia="彩虹粗仿宋" w:hAnsi="宋体" w:cs="Arial" w:hint="eastAsia"/>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3）特殊情况处理</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如遇所投资基金不公布基金份额净值、进行折算或拆分、估值日无交易等特殊情况，本基金根据以下原则进行估值：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①</w:t>
      </w:r>
      <w:r>
        <w:rPr>
          <w:rFonts w:ascii="彩虹粗仿宋" w:eastAsia="彩虹粗仿宋" w:hAnsi="宋体" w:cs="Arial" w:hint="eastAsia"/>
          <w:sz w:val="24"/>
        </w:rPr>
        <w:t>以所投资基金的基金份额净值估值的，若所投资基金与本基金估值频率一致但未公布估值日基金份额净值，按其最近公布的基金份额净值为基础估值。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②</w:t>
      </w:r>
      <w:r>
        <w:rPr>
          <w:rFonts w:ascii="彩虹粗仿宋" w:eastAsia="彩虹粗仿宋" w:hAnsi="宋体" w:cs="Arial" w:hint="eastAsia"/>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③</w:t>
      </w:r>
      <w:r>
        <w:rPr>
          <w:rFonts w:ascii="彩虹粗仿宋" w:eastAsia="彩虹粗仿宋" w:hAnsi="宋体" w:cs="Arial" w:hint="eastAsia"/>
          <w:sz w:val="24"/>
        </w:rPr>
        <w:t>如果所投资基金前一估值日至估值日期间发生分红除权、折算或拆分，基金管理人应根据基金份额净值或收盘价、单位基金份额分红金额、折算拆分比例、持仓份额等因素合理确定公允价值。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4）当基金管理人认为所投资基金按上述第1）至第3）项进行估值存在不公允时，应与基金托管人协商一致采用合理的估值技术或估值标准确定其公允价值。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2</w:t>
      </w:r>
      <w:r>
        <w:rPr>
          <w:rFonts w:ascii="彩虹粗仿宋" w:eastAsia="彩虹粗仿宋" w:hAnsi="宋体" w:cs="Arial"/>
          <w:sz w:val="24"/>
        </w:rPr>
        <w:t>）证券交易所上市的有价证券的估值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①</w:t>
      </w:r>
      <w:r>
        <w:rPr>
          <w:rFonts w:ascii="彩虹粗仿宋" w:eastAsia="彩虹粗仿宋" w:hAnsi="宋体" w:cs="Arial"/>
          <w:sz w:val="24"/>
        </w:rPr>
        <w:t>除另有约定的品种外，交易所上市的有价证券（包括股票等），以其估值日 在证券交易所挂牌的市价（收盘价）估值；估值日无交易的，且最近交易日后经 济环境未发生重大变化以及证券发行机构未发生影响证券价格的重大事件的，以 最近交易日的市价（收盘价）估值；如最近交易日后经济环境发生了重大变化或 证券发行机构发生影响证券价格的重大事件的，可参考类似投资品种的现行市价 及重大变化因素，调整最近交易市价，确定公允价格</w:t>
      </w:r>
      <w:r>
        <w:rPr>
          <w:rFonts w:ascii="彩虹粗仿宋" w:eastAsia="彩虹粗仿宋" w:hAnsi="宋体" w:cs="Arial" w:hint="eastAsia"/>
          <w:sz w:val="24"/>
        </w:rPr>
        <w:t>；交易所上市不存在活跃市场的有价证券，采用估值技术确定公允价值</w:t>
      </w:r>
      <w:r>
        <w:rPr>
          <w:rFonts w:ascii="彩虹粗仿宋" w:eastAsia="彩虹粗仿宋" w:hAnsi="宋体" w:cs="Arial"/>
          <w:sz w:val="24"/>
        </w:rPr>
        <w:t>。</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②</w:t>
      </w:r>
      <w:r>
        <w:rPr>
          <w:rFonts w:ascii="彩虹粗仿宋" w:eastAsia="彩虹粗仿宋" w:hAnsi="宋体" w:cs="Arial"/>
          <w:sz w:val="24"/>
        </w:rPr>
        <w:t>本基金投资存托凭证的估值核算，依照境内上市交易的股票执行。</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3</w:t>
      </w:r>
      <w:r>
        <w:rPr>
          <w:rFonts w:ascii="彩虹粗仿宋" w:eastAsia="彩虹粗仿宋" w:hAnsi="宋体" w:cs="Arial"/>
          <w:sz w:val="24"/>
        </w:rPr>
        <w:t>）处于未上市期间的有价证券应区分如下情况处理：</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w:t>
      </w:r>
      <w:r>
        <w:rPr>
          <w:rFonts w:ascii="彩虹粗仿宋" w:eastAsia="彩虹粗仿宋" w:hAnsi="宋体" w:cs="Arial"/>
          <w:sz w:val="24"/>
        </w:rPr>
        <w:t>①</w:t>
      </w:r>
      <w:r>
        <w:rPr>
          <w:rFonts w:ascii="彩虹粗仿宋" w:eastAsia="彩虹粗仿宋" w:hAnsi="宋体" w:cs="Arial"/>
          <w:sz w:val="24"/>
        </w:rPr>
        <w:t>送股、转增股、配股和公开增发的新股，按估值日在证券交易所挂牌的同 一股票的估值方法估值；该日无交易的，以最近一日的市价（收盘价）估值；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w:t>
      </w:r>
      <w:r>
        <w:rPr>
          <w:rFonts w:ascii="彩虹粗仿宋" w:eastAsia="彩虹粗仿宋" w:hAnsi="宋体" w:cs="Arial"/>
          <w:sz w:val="24"/>
        </w:rPr>
        <w:t>②</w:t>
      </w:r>
      <w:r>
        <w:rPr>
          <w:rFonts w:ascii="彩虹粗仿宋" w:eastAsia="彩虹粗仿宋" w:hAnsi="宋体" w:cs="Arial"/>
          <w:sz w:val="24"/>
        </w:rPr>
        <w:t>首次公开发行未上市的股票，采用估值技术确定公允价值；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w:t>
      </w:r>
      <w:r>
        <w:rPr>
          <w:rFonts w:ascii="彩虹粗仿宋" w:eastAsia="彩虹粗仿宋" w:hAnsi="宋体" w:cs="Arial"/>
          <w:sz w:val="24"/>
        </w:rPr>
        <w:t>③</w:t>
      </w:r>
      <w:r>
        <w:rPr>
          <w:rFonts w:ascii="彩虹粗仿宋" w:eastAsia="彩虹粗仿宋" w:hAnsi="宋体" w:cs="Arial"/>
          <w:sz w:val="24"/>
        </w:rPr>
        <w:t xml:space="preserve">在发行时明确一定期限限售期的股票，包括但不限于非公开发行股票、首 次公开发行股票时公司股东公开发售股份、通过大宗交易取得的带限售期的股票 等，不包括停牌、新发行未上市、回购交易中的质押券等流通受限股票，按监管  机构或行业协会有关规定确定公允价值。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4</w:t>
      </w:r>
      <w:r>
        <w:rPr>
          <w:rFonts w:ascii="彩虹粗仿宋" w:eastAsia="彩虹粗仿宋" w:hAnsi="宋体" w:cs="Arial"/>
          <w:sz w:val="24"/>
        </w:rPr>
        <w:t>）固定收益品种的估值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w:t>
      </w:r>
      <w:r>
        <w:rPr>
          <w:rFonts w:ascii="彩虹粗仿宋" w:eastAsia="彩虹粗仿宋" w:hAnsi="宋体" w:cs="Arial"/>
          <w:sz w:val="24"/>
        </w:rPr>
        <w:t>①</w:t>
      </w:r>
      <w:r>
        <w:rPr>
          <w:rFonts w:ascii="彩虹粗仿宋" w:eastAsia="彩虹粗仿宋" w:hAnsi="宋体" w:cs="Arial"/>
          <w:sz w:val="24"/>
        </w:rPr>
        <w:t xml:space="preserve">对于已上市或已挂牌转让的不含权固定收益品种（另有规定的除外），选 </w:t>
      </w:r>
      <w:r>
        <w:rPr>
          <w:rFonts w:ascii="彩虹粗仿宋" w:eastAsia="彩虹粗仿宋" w:hAnsi="宋体" w:cs="Arial"/>
          <w:sz w:val="24"/>
        </w:rPr>
        <w:lastRenderedPageBreak/>
        <w:t>取估值日第三方估值基准服务机构提供的相应品种当日的估值全价进行估值；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w:t>
      </w:r>
      <w:r>
        <w:rPr>
          <w:rFonts w:ascii="彩虹粗仿宋" w:eastAsia="彩虹粗仿宋" w:hAnsi="宋体" w:cs="Arial"/>
          <w:sz w:val="24"/>
        </w:rPr>
        <w:t>②</w:t>
      </w:r>
      <w:r>
        <w:rPr>
          <w:rFonts w:ascii="彩虹粗仿宋" w:eastAsia="彩虹粗仿宋" w:hAnsi="宋体" w:cs="Arial"/>
          <w:sz w:val="24"/>
        </w:rPr>
        <w:t>对于已上市或已挂牌转让的含权固定收益品种（另有规定的除外），选取 估值日第三方估值基准服务机构提供的相应品种当日的唯一估值全价或推荐估值 全价进行估值。对于含投资者回售权的固定收益品种，行使回售权的，在回售登 记日至实际收款日期间选取第三方估值基准服务机构提供的相应品种的唯一估值 全价或推荐估值全价，同时充分考虑发行人的信用风险变化对公允价值的影响。 回售登记期截止日（含当日）后未行使回售权的按照长待偿期所对应的价格进行 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w:t>
      </w:r>
      <w:r>
        <w:rPr>
          <w:rFonts w:ascii="彩虹粗仿宋" w:eastAsia="彩虹粗仿宋" w:hAnsi="宋体" w:cs="Arial"/>
          <w:sz w:val="24"/>
        </w:rPr>
        <w:t>③</w:t>
      </w:r>
      <w:r>
        <w:rPr>
          <w:rFonts w:ascii="彩虹粗仿宋" w:eastAsia="彩虹粗仿宋" w:hAnsi="宋体" w:cs="Arial"/>
          <w:sz w:val="24"/>
        </w:rPr>
        <w:t>对于在交易所上市交易的公开发行的可转换债券等有活跃市场的含转股权 的债券，实行全价交易的债券选取估值日收盘价作为估值全价；实行净价交易的 债券选取估值日收盘价并加计每百元税前应计利息作为估值全价；</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w:t>
      </w:r>
      <w:r>
        <w:rPr>
          <w:rFonts w:ascii="彩虹粗仿宋" w:eastAsia="彩虹粗仿宋" w:hAnsi="宋体" w:cs="Arial"/>
          <w:sz w:val="24"/>
        </w:rPr>
        <w:t>④</w:t>
      </w:r>
      <w:r>
        <w:rPr>
          <w:rFonts w:ascii="彩虹粗仿宋" w:eastAsia="彩虹粗仿宋" w:hAnsi="宋体" w:cs="Arial"/>
          <w:sz w:val="24"/>
        </w:rPr>
        <w:t xml:space="preserve">对于未上市或未挂牌转让且不存在活跃市场的固定收益品种，采用在当前 情况下适用并且有足够可利用数据和其他信息支持的估值技术确定其公允价值。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5</w:t>
      </w:r>
      <w:r>
        <w:rPr>
          <w:rFonts w:ascii="彩虹粗仿宋" w:eastAsia="彩虹粗仿宋" w:hAnsi="宋体" w:cs="Arial"/>
          <w:sz w:val="24"/>
        </w:rPr>
        <w:t>）本基金投资同业存单，按估值日第三方估值基准服务机构提供的估值 全价估值；选定的第三方估值基准服务机构未提供估值价格的，按监管机构或行 业协会有关规定确定公允价值。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w:t>
      </w:r>
      <w:r>
        <w:rPr>
          <w:rFonts w:ascii="彩虹粗仿宋" w:eastAsia="彩虹粗仿宋" w:hAnsi="宋体" w:cs="Arial" w:hint="eastAsia"/>
          <w:sz w:val="24"/>
        </w:rPr>
        <w:t>6</w:t>
      </w:r>
      <w:r>
        <w:rPr>
          <w:rFonts w:ascii="彩虹粗仿宋" w:eastAsia="彩虹粗仿宋" w:hAnsi="宋体" w:cs="Arial"/>
          <w:sz w:val="24"/>
        </w:rPr>
        <w:t>）同一</w:t>
      </w:r>
      <w:r>
        <w:rPr>
          <w:rFonts w:ascii="彩虹粗仿宋" w:eastAsia="彩虹粗仿宋" w:hAnsi="宋体" w:cs="Arial" w:hint="eastAsia"/>
          <w:sz w:val="24"/>
        </w:rPr>
        <w:t>金融</w:t>
      </w:r>
      <w:r>
        <w:rPr>
          <w:rFonts w:ascii="彩虹粗仿宋" w:eastAsia="彩虹粗仿宋" w:hAnsi="宋体" w:cs="Arial"/>
          <w:sz w:val="24"/>
        </w:rPr>
        <w:t>工具同时在两个或两个以上市场交易的，按</w:t>
      </w:r>
      <w:r>
        <w:rPr>
          <w:rFonts w:ascii="彩虹粗仿宋" w:eastAsia="彩虹粗仿宋" w:hAnsi="宋体" w:cs="Arial" w:hint="eastAsia"/>
          <w:sz w:val="24"/>
        </w:rPr>
        <w:t>其</w:t>
      </w:r>
      <w:r>
        <w:rPr>
          <w:rFonts w:ascii="彩虹粗仿宋" w:eastAsia="彩虹粗仿宋" w:hAnsi="宋体" w:cs="Arial"/>
          <w:sz w:val="24"/>
        </w:rPr>
        <w:t xml:space="preserve">所处的市场分别 估值。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7</w:t>
      </w:r>
      <w:r>
        <w:rPr>
          <w:rFonts w:ascii="彩虹粗仿宋" w:eastAsia="彩虹粗仿宋" w:hAnsi="宋体" w:cs="Arial"/>
          <w:sz w:val="24"/>
        </w:rPr>
        <w:t>）持有的银行定期存款或通知存款以本金列示，按协议 或合同利率逐日确认利息收入。</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8</w:t>
      </w:r>
      <w:r>
        <w:rPr>
          <w:rFonts w:ascii="彩虹粗仿宋" w:eastAsia="彩虹粗仿宋" w:hAnsi="宋体" w:cs="Arial"/>
          <w:sz w:val="24"/>
        </w:rPr>
        <w:t xml:space="preserve">）本基金可以采用第三方估值基准服务机构按照上述公允价值确定原则 提供的估值价格数据。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9</w:t>
      </w:r>
      <w:r>
        <w:rPr>
          <w:rFonts w:ascii="彩虹粗仿宋" w:eastAsia="彩虹粗仿宋" w:hAnsi="宋体" w:cs="Arial"/>
          <w:sz w:val="24"/>
        </w:rPr>
        <w:t xml:space="preserve">）估值计算中涉及港币对人民币汇率的，将依据下列信息提供机构所提 供的汇率为基准：当日中国人民银行公布的人民币与港币的中间价。 税收：对于按照中国法律法规和基金投资境内外股票市场交易互联互通机制 涉及的境外交易场所所在地的法律法规规定应交纳的各项税金，本基金将按权责 发生制原则进行估值；对于因税收规定调整或其他原因导致基金实际交纳税金与 估算的应交税金有差异的，基金将在相关税金调整日或实际支付日进行相应的估 值调整。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10</w:t>
      </w:r>
      <w:r>
        <w:rPr>
          <w:rFonts w:ascii="彩虹粗仿宋" w:eastAsia="彩虹粗仿宋" w:hAnsi="宋体" w:cs="Arial"/>
          <w:sz w:val="24"/>
        </w:rPr>
        <w:t xml:space="preserve">）对于发行人已破产、发行人未能按时足额偿付本金或利息，或者有其 它可靠信息表明本金或利息无法按时足额偿付的债券投资品种，第三方估值基准服务机构可在提供推荐价格的同时提供价格区间作为公允价值的参考范围以及公 允价值存在重大不确定性的相关提示。基金管理人在与基金托管人协商一致后， 可采用价格区间中的数据作为该债券投资品种的公允价值。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lastRenderedPageBreak/>
        <w:t>（</w:t>
      </w:r>
      <w:r>
        <w:rPr>
          <w:rFonts w:ascii="彩虹粗仿宋" w:eastAsia="彩虹粗仿宋" w:hAnsi="宋体" w:cs="Arial" w:hint="eastAsia"/>
          <w:sz w:val="24"/>
        </w:rPr>
        <w:t>11</w:t>
      </w:r>
      <w:r>
        <w:rPr>
          <w:rFonts w:ascii="彩虹粗仿宋" w:eastAsia="彩虹粗仿宋" w:hAnsi="宋体" w:cs="Arial"/>
          <w:sz w:val="24"/>
        </w:rPr>
        <w:t xml:space="preserve">）如有确凿证据表明按上述方法进行估值不能客观反映其公允价值的， 基金管理人可根据具体情况与基金托管人商定后，按最能反映公允价值的价格估 值。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12</w:t>
      </w:r>
      <w:r>
        <w:rPr>
          <w:rFonts w:ascii="彩虹粗仿宋" w:eastAsia="彩虹粗仿宋" w:hAnsi="宋体" w:cs="Arial"/>
          <w:sz w:val="24"/>
        </w:rPr>
        <w:t xml:space="preserve">）当发生大额申购或赎回情形时，基金管理人可以采用摆动定价机制， 以确保基金估值的公平性。具体处理原则与操作规范遵循相关法律法规以及监管 部门、自律规则的规定。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13</w:t>
      </w:r>
      <w:r>
        <w:rPr>
          <w:rFonts w:ascii="彩虹粗仿宋" w:eastAsia="彩虹粗仿宋" w:hAnsi="宋体" w:cs="Arial"/>
          <w:sz w:val="24"/>
        </w:rPr>
        <w:t>）相关法律法规以及监管部门有强制规定的，从其规定。如有新增事项， 按</w:t>
      </w:r>
      <w:r>
        <w:rPr>
          <w:rFonts w:ascii="彩虹粗仿宋" w:eastAsia="彩虹粗仿宋" w:hAnsi="宋体" w:cs="Arial" w:hint="eastAsia"/>
          <w:sz w:val="24"/>
        </w:rPr>
        <w:t>法律法规</w:t>
      </w:r>
      <w:r>
        <w:rPr>
          <w:rFonts w:ascii="彩虹粗仿宋" w:eastAsia="彩虹粗仿宋" w:hAnsi="宋体" w:cs="Arial"/>
          <w:sz w:val="24"/>
        </w:rPr>
        <w:t>以及监管部门最新规定估值。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如基金管理人或基金托管人发现基金估值违反基金合同订明的估值方法、程 序及相关法律法规的规定或者未能充分维护基金份额持有人利益时，应立即通知 对方，共同查明原因，双方协商解决。</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根据有关法律法规，基金资产净值计算和基金会计核算的义务由基金管理人 承担。本基金的基金会计责任方由基金管理人担任，因此，就与本基金有关的会计问题，如经相关各方在平等基础上充分讨论后，仍无法达成一致意见的，</w:t>
      </w:r>
      <w:r>
        <w:rPr>
          <w:rFonts w:ascii="彩虹粗仿宋" w:eastAsia="彩虹粗仿宋" w:hint="eastAsia"/>
          <w:sz w:val="24"/>
          <w:szCs w:val="21"/>
        </w:rPr>
        <w:t>基金管理人向基金托管人出具盖章的书面说明后，</w:t>
      </w:r>
      <w:r>
        <w:rPr>
          <w:rFonts w:ascii="彩虹粗仿宋" w:eastAsia="彩虹粗仿宋" w:hAnsi="宋体" w:cs="Arial"/>
          <w:sz w:val="24"/>
        </w:rPr>
        <w:t>按照基金管理人对基金净值信息的计算结果按规定对外予以公布。</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3.特殊情形的处理</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基金管理人、基金托管人按估值方法的第(</w:t>
      </w:r>
      <w:r>
        <w:rPr>
          <w:rFonts w:ascii="彩虹粗仿宋" w:eastAsia="彩虹粗仿宋" w:hAnsi="宋体" w:cs="Arial" w:hint="eastAsia"/>
          <w:sz w:val="24"/>
        </w:rPr>
        <w:t>11</w:t>
      </w:r>
      <w:r>
        <w:rPr>
          <w:rFonts w:ascii="彩虹粗仿宋" w:eastAsia="彩虹粗仿宋" w:hAnsi="宋体" w:cs="Arial"/>
          <w:sz w:val="24"/>
        </w:rPr>
        <w:t xml:space="preserve">)项进行估值时，所造成的误差 不作为基金份额净值错误处理。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4.实施侧袋机制期间的基金资产估值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本基金实施侧袋机制的，应根据本部分的约定对主袋账户资产进行估值并披 露主袋账户的基金净值信息，暂停披露侧袋账户份额净值。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（三）基金份额净值错误的处理方式</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 当任一类基金份额净值小数点后 4 位以内(含第 4 位)发生估值错误时，视 为该类基金份额净值错误；基金份额净值计算出现错误时，基金管理人应当立即 予以纠正，通报基金托管人，并采取合理的措施防止损失进一步扩大；错误偏差 达到或超过该类基金份额净值的 0.25%时，基金管理人应当及时通报基金托管人 并报中国证监会备案；错误偏差达到该类基金份额净值的 0.5%时，基金管理人 应当公告，并报中国证监会备案；当发生净值计算错误时，由基金管理人负责处理，由此给基金份额持有人和基金造成损失的，</w:t>
      </w:r>
      <w:r>
        <w:rPr>
          <w:rStyle w:val="read"/>
          <w:rFonts w:ascii="彩虹粗仿宋" w:eastAsia="彩虹粗仿宋" w:hint="eastAsia"/>
          <w:sz w:val="24"/>
        </w:rPr>
        <w:t>应由基金管理人先行赔付，</w:t>
      </w:r>
      <w:r>
        <w:rPr>
          <w:rFonts w:ascii="彩虹粗仿宋" w:eastAsia="彩虹粗仿宋" w:hAnsi="宋体" w:cs="Arial"/>
          <w:sz w:val="24"/>
        </w:rPr>
        <w:t>基金管理人按差错情形，有权向其他当事人追偿</w:t>
      </w:r>
      <w:r>
        <w:rPr>
          <w:rFonts w:ascii="彩虹粗仿宋" w:eastAsia="彩虹粗仿宋" w:hAnsi="宋体" w:cs="Arial" w:hint="eastAsia"/>
          <w:sz w:val="24"/>
        </w:rPr>
        <w:t>，基金托管人应提供必要的协助</w:t>
      </w:r>
      <w:r>
        <w:rPr>
          <w:rFonts w:ascii="彩虹粗仿宋" w:eastAsia="彩虹粗仿宋" w:hAnsi="宋体" w:cs="Arial"/>
          <w:sz w:val="24"/>
        </w:rPr>
        <w:t xml:space="preserve">。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2.当基金份额净值计算差错给基金和基金份额持有人造成损失需要进行赔偿 时，基金管理人和基金托管人应根据实际情况界定双方承担的责任，经确认后按 </w:t>
      </w:r>
      <w:r>
        <w:rPr>
          <w:rFonts w:ascii="彩虹粗仿宋" w:eastAsia="彩虹粗仿宋" w:hAnsi="宋体" w:cs="Arial"/>
          <w:sz w:val="24"/>
        </w:rPr>
        <w:lastRenderedPageBreak/>
        <w:t>以下条款进行赔偿：</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(1)本基金的基金会计责任方由基金管理人担任，与本基金有关的会计问题， 如经相关各方在平等基础上充分讨论后，尚不能达成一致时，按基金管理人的建 议执行，由此给基金份额持有人和基金财产造成的损失，由基金管理人负责赔付。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(2)若基金管理人计算的各类基金份额净值已由基金托管人复核确认后公告， 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(3)如基金管理人和基金托管人对各类基金份额净值的计算结果，虽然多次重 新计算和核对，尚不能达成一致时，为避免不能按时公布各类基金份额净值的情 形，以基金管理人的计算结果对外公布，由此给基金份额持有人和基金造成的损 失，由基金管理人负责赔付。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(4)由于基金管理人提供的信息错误（包括但不限于基金申购或赎回金额等）， 进而导致基金份额净值计算错误而引起的基金份额持有人和基金财产的损失，由 基金管理人负责赔付。</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3. 由于证券交易场所</w:t>
      </w:r>
      <w:r>
        <w:rPr>
          <w:rFonts w:ascii="彩虹粗仿宋" w:eastAsia="彩虹粗仿宋" w:hAnsi="宋体" w:cs="Arial" w:hint="eastAsia"/>
          <w:sz w:val="24"/>
        </w:rPr>
        <w:t>、基金管理公司、</w:t>
      </w:r>
      <w:r>
        <w:rPr>
          <w:rFonts w:ascii="彩虹粗仿宋" w:eastAsia="彩虹粗仿宋" w:hAnsi="宋体" w:cs="Arial"/>
          <w:sz w:val="24"/>
        </w:rPr>
        <w:t>登记结算公司、第三方估值基准服务机构或 存款银行等第三方机构发送的数据错误、遗漏，有关会计制度变化、市场规则变 化或由于不可抗力等非基金管理人与基金托管人原因，基金管理人和基金托 管人虽然已经采取必要、适当、合理的措施进行检查，但</w:t>
      </w:r>
      <w:r>
        <w:rPr>
          <w:rFonts w:ascii="彩虹粗仿宋" w:eastAsia="彩虹粗仿宋" w:hAnsi="宋体" w:cs="Arial" w:hint="eastAsia"/>
          <w:sz w:val="24"/>
        </w:rPr>
        <w:t>未能发现错误</w:t>
      </w:r>
      <w:bookmarkStart w:id="86" w:name="_Hlk197704567"/>
      <w:r>
        <w:rPr>
          <w:rFonts w:ascii="彩虹粗仿宋" w:eastAsia="彩虹粗仿宋" w:hAnsi="宋体" w:cs="Arial" w:hint="eastAsia"/>
          <w:sz w:val="24"/>
        </w:rPr>
        <w:t>、遗漏或因上述原因未能及时更正</w:t>
      </w:r>
      <w:bookmarkEnd w:id="86"/>
      <w:r>
        <w:rPr>
          <w:rFonts w:ascii="彩虹粗仿宋" w:eastAsia="彩虹粗仿宋" w:hAnsi="宋体" w:cs="Arial"/>
          <w:sz w:val="24"/>
        </w:rPr>
        <w:t>的， 由此造成的基金资产估值错误，基金管理人、基金托管人免除赔偿责任。但基金 管理人、基金托管人应积极采取必要的措施减轻或消除由此造成的影响。</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4.基金管理人和基金托管人由于各自技术系统设置而产生的净值计算尾差， 以基金管理人计算结果为准。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5.前述内容如法律法规或者监管部门另有规定的，从其规定。如果行业另有 通行做法，</w:t>
      </w:r>
      <w:r>
        <w:rPr>
          <w:rFonts w:ascii="彩虹粗仿宋" w:eastAsia="彩虹粗仿宋" w:hAnsi="宋体" w:cs="Arial" w:hint="eastAsia"/>
          <w:sz w:val="24"/>
        </w:rPr>
        <w:t>基金管理人及基金托管人</w:t>
      </w:r>
      <w:r>
        <w:rPr>
          <w:rFonts w:ascii="彩虹粗仿宋" w:eastAsia="彩虹粗仿宋" w:hAnsi="宋体" w:cs="Arial"/>
          <w:sz w:val="24"/>
        </w:rPr>
        <w:t xml:space="preserve">应本着平等和保护基金份额持有人利益的原则进行协商。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（四）暂停估值与公告基金份额净值的情形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1.基金投资所涉及的证券</w:t>
      </w:r>
      <w:r>
        <w:rPr>
          <w:rFonts w:ascii="彩虹粗仿宋" w:eastAsia="彩虹粗仿宋" w:hAnsi="宋体" w:cs="Arial" w:hint="eastAsia"/>
          <w:sz w:val="24"/>
        </w:rPr>
        <w:t>交易市场或</w:t>
      </w:r>
      <w:r>
        <w:rPr>
          <w:rFonts w:ascii="彩虹粗仿宋" w:eastAsia="彩虹粗仿宋" w:hAnsi="宋体" w:cs="Arial"/>
          <w:sz w:val="24"/>
        </w:rPr>
        <w:t>外汇市场遇法定节假日或因其他 原因暂停营业</w:t>
      </w:r>
      <w:r>
        <w:rPr>
          <w:rFonts w:ascii="彩虹粗仿宋" w:eastAsia="彩虹粗仿宋" w:hAnsi="宋体" w:cs="Arial" w:hint="eastAsia"/>
          <w:sz w:val="24"/>
        </w:rPr>
        <w:t>或港股通临时停市</w:t>
      </w:r>
      <w:r>
        <w:rPr>
          <w:rFonts w:ascii="彩虹粗仿宋" w:eastAsia="彩虹粗仿宋" w:hAnsi="宋体" w:cs="Arial"/>
          <w:sz w:val="24"/>
        </w:rPr>
        <w:t>时；</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2.不可抗力或其他情形致使基金管理人、基金托管人无法准确评估基金资产 价值时；</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lastRenderedPageBreak/>
        <w:t>3. 当特定资产占前一估值日基金资产净值50%以上时，经与基金托管人协 商确认后，基金管理人应当暂停估值；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4.占相当比例的被投资基金暂停估值时；</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sz w:val="24"/>
        </w:rPr>
        <w:t>法律法规规定中国证监会和《基金合同》认定的其他情形。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（五）基金会计制度</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按国家有关部门规定的会计制度执行。</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（六）基金账册的建立</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基金管理人进行基金会计核算并编制基金财务会计报告。基金管理人独立地 设置、记录和保管本基金的全套账册。若基金管理人和基金托管人对会计处理方 法存在分歧，应以基金管理人的处理方法为准。若当日核对不符，暂时无法查找 到错账的原因而影响到基金净值信息的计算和公告的，以基金管理人的账册为准。</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（七）基金财务报表与报告的编制和复核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1.财务报表的编制</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基金财务报表由基金管理人编制，基金托管人复核。</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 2.报表复核</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基金托管人在收到基金管理人编制的基金财务报表后，进行独立的复核。核对不符时，应及时通知基金管理人共同查出原因，进行调整，直至双方数据完全 一致。</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 xml:space="preserve">3.财务报表的编制与复核时间安排 </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(1)报表的编制 基金管理人应当在每月结束后5个工作日内完成月度报表的编制；在季度结束之日起15个工作日内完成基金季度报告的编制；在上半年结束之日起</w:t>
      </w:r>
      <w:r>
        <w:rPr>
          <w:rFonts w:ascii="彩虹粗仿宋" w:eastAsia="彩虹粗仿宋" w:hAnsi="宋体" w:cs="Arial" w:hint="eastAsia"/>
          <w:sz w:val="24"/>
        </w:rPr>
        <w:t>2个月</w:t>
      </w:r>
      <w:r>
        <w:rPr>
          <w:rFonts w:ascii="彩虹粗仿宋" w:eastAsia="彩虹粗仿宋" w:hAnsi="宋体" w:cs="Arial"/>
          <w:sz w:val="24"/>
        </w:rPr>
        <w:t>内完成基金中期报告的编制；在每年结束之日起</w:t>
      </w:r>
      <w:r>
        <w:rPr>
          <w:rFonts w:ascii="彩虹粗仿宋" w:eastAsia="彩虹粗仿宋" w:hAnsi="宋体" w:cs="Arial" w:hint="eastAsia"/>
          <w:sz w:val="24"/>
        </w:rPr>
        <w:t>3个月</w:t>
      </w:r>
      <w:r>
        <w:rPr>
          <w:rFonts w:ascii="彩虹粗仿宋" w:eastAsia="彩虹粗仿宋" w:hAnsi="宋体" w:cs="Arial"/>
          <w:sz w:val="24"/>
        </w:rPr>
        <w:t>内完成基金年度报告的编制。</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基金年度报告的财务会计报告应当经过符合《中华人民共和国证券法》规定的会 计师事务所审计。《基金合同》生效不足两个月的，基金管理人可以不编制当期 季度报告、中期报告或者年度报告。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(2)报表的复核</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基金管理人应及时完成报表编制，将有关报表提供基金托管人复核；基金托 管人在复核过程中，发现双方的报表存在不符时，基金管理人和基金托管人应共 同查明原因，进行调整，调整以国家有关规定为准。</w:t>
      </w:r>
    </w:p>
    <w:p w:rsidR="00A74465" w:rsidRDefault="002379B6">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基金管理人应留足充分的时间，便于基金托管人复核相关报表及报告。</w:t>
      </w:r>
      <w:r>
        <w:rPr>
          <w:rFonts w:ascii="彩虹粗仿宋" w:eastAsia="彩虹粗仿宋" w:hAnsi="宋体" w:cs="Arial" w:hint="eastAsia"/>
          <w:sz w:val="24"/>
        </w:rPr>
        <w:t>如果基金管理人与基金托管人不能于应当发布公告之日之前就相关报表达成一致，基金管理人按照其编制的报表对外发布公告，基金托管人有权就相关情况报中国证</w:t>
      </w:r>
      <w:r>
        <w:rPr>
          <w:rFonts w:ascii="彩虹粗仿宋" w:eastAsia="彩虹粗仿宋" w:hAnsi="宋体" w:cs="Arial" w:hint="eastAsia"/>
          <w:sz w:val="24"/>
        </w:rPr>
        <w:lastRenderedPageBreak/>
        <w:t>监会备案。</w:t>
      </w:r>
    </w:p>
    <w:p w:rsidR="00A74465" w:rsidRDefault="002379B6">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（八）基金管理人应在编制季度报告、中期报告或者年度报告之前及时向基 金托管人提供基金业绩比较基准的基础数据和编制结果。</w:t>
      </w:r>
    </w:p>
    <w:p w:rsidR="00A74465" w:rsidRDefault="00A74465">
      <w:pPr>
        <w:pStyle w:val="a0"/>
        <w:adjustRightInd w:val="0"/>
        <w:snapToGrid w:val="0"/>
        <w:ind w:firstLineChars="0" w:firstLine="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87" w:name="_Toc124325893"/>
      <w:r>
        <w:rPr>
          <w:rFonts w:ascii="彩虹粗仿宋" w:eastAsia="彩虹粗仿宋" w:hint="eastAsia"/>
          <w:sz w:val="30"/>
        </w:rPr>
        <w:t>九、基金收益分配</w:t>
      </w:r>
      <w:bookmarkEnd w:id="87"/>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1.由于本基金A类基金份额不收取销售服务费，C类基金份额收取销售服务费，各基金份额类别对应的可供分配利润将有所不同，本基金同一类别每一基金份额享有同等分配权；</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2.在符合有关基金分红条件的前提下，基金管理人可以根据实际情况进行收益分配，具体分配方案以公告为准，若《基金合同》生效不满3个月可不进行收益分配；</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3.本基金收益分配方式分两种：现金分红与红利再投资，投资者可选择现金红利或将现金红利自动转为相应类别的基金份额进行再投资；若投资者不选择，本基金默认的收益分配方式是现金分红；</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4.基金收益分配后任一类基金份额净值不能低于面值；即基金收益分配基准日的任一类基金份额净值减去每单位该类基金份额收益分配金额后不能低于面值；</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5.基金份额持有人持有的基金份额（原份额）所获得的红利再投资份额的持有期，按原份额的持有期计算；</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sz w:val="24"/>
        </w:rPr>
        <w:t>法律法规或监管机构另有规定的，从其规定。</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在不违背法律法规规定、基金合同的约定且对基金份额持有人利益无实质性不利影响的前提下，基金管理人经与基金托管人协商一致，按照监管部门要求履行适当程序后可调整基金收益的分配原则。</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按规定在规定媒介公告。基金收益分配方案公告后(依据具体方案的规定)，基金管理人就支付的现金红利向基金托管人发送划款指令，基金托管人按照基金管理人的指令及时进行分红资金的划付。</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w:t>
      </w:r>
      <w:r>
        <w:rPr>
          <w:rFonts w:ascii="彩虹粗仿宋" w:eastAsia="彩虹粗仿宋" w:hAnsi="宋体" w:cs="Arial" w:hint="eastAsia"/>
          <w:sz w:val="24"/>
        </w:rPr>
        <w:lastRenderedPageBreak/>
        <w:t>资者的现金红利小于一定金额，不足以支付银行转账或其他手续费用时，基金登记机构可将基金份额持有人的现金红利自动转为相应类别的基金份额。红利再投资的计算方法，依照《业务规则》执行。</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（三）实施侧袋机制期间的收益分配</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本基金实施侧袋机制的，侧袋账户不进行收益分配，详见招募说明书的规定或相关公告。</w:t>
      </w:r>
    </w:p>
    <w:p w:rsidR="00A74465" w:rsidRDefault="00A74465">
      <w:pPr>
        <w:adjustRightInd w:val="0"/>
        <w:snapToGrid w:val="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88" w:name="_Toc124325894"/>
      <w:r>
        <w:rPr>
          <w:rFonts w:ascii="彩虹粗仿宋" w:eastAsia="彩虹粗仿宋" w:hint="eastAsia"/>
          <w:sz w:val="30"/>
        </w:rPr>
        <w:t>十、基金信息披露</w:t>
      </w:r>
      <w:bookmarkEnd w:id="88"/>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运作办法》、《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3.基金管理人或基金托管人在要求保密的前提下对自身聘请的外部法律顾问、财务顾问、审计人员、技术顾问等做出的必要信息披露。</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（二）信息披露的内容</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实施侧袋机制期间的信息披露、投资其他公开募集证券投资基金的信息披露、投资港股通标的股票、资产支持证券的信息披露、中国证监会规定的其他信息。基金年度报告中的财务会计报告需经符合《中华人民共和国证券法》规定的会计师事务所审计后，方可披露。</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(1)不可抗力或其他情形致使基金管理人、基金托管人无法准确评估基金资产价值时；</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 基金投资所涉及的证券交易市场或外汇市场遇法定节假日或因其他原因暂停营业或港股通临时停市时；</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 (3) 出现基金合同约定的暂停估值的情形；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(4)法律法规、《基金合同》或中国证监会规定的其他情况。</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rsidR="00A74465" w:rsidRDefault="002379B6" w:rsidP="00CA52A7">
      <w:pPr>
        <w:pStyle w:val="a0"/>
        <w:ind w:firstLine="480"/>
        <w:rPr>
          <w:rFonts w:ascii="彩虹粗仿宋" w:eastAsia="彩虹粗仿宋" w:hAnsi="宋体" w:cs="Arial"/>
          <w:sz w:val="24"/>
        </w:rPr>
      </w:pPr>
      <w:r w:rsidRPr="00CA52A7">
        <w:rPr>
          <w:rFonts w:ascii="彩虹粗仿宋" w:eastAsia="彩虹粗仿宋" w:hAnsi="宋体" w:cs="Arial" w:hint="eastAsia"/>
          <w:sz w:val="24"/>
        </w:rPr>
        <w:t>依法必须披露的信息发布后，基金管理人、基金托管人应当按照相关法律法规规定将信息置备于公司住所，供社会公众查阅、复制。</w:t>
      </w:r>
      <w:r>
        <w:rPr>
          <w:rFonts w:ascii="彩虹粗仿宋" w:eastAsia="彩虹粗仿宋" w:hAnsi="宋体" w:cs="Arial" w:hint="eastAsia"/>
          <w:sz w:val="24"/>
        </w:rPr>
        <w:t>（四）实施侧袋机制期间的信息披露</w:t>
      </w:r>
    </w:p>
    <w:p w:rsidR="00A74465" w:rsidRDefault="002379B6">
      <w:pPr>
        <w:pStyle w:val="a0"/>
        <w:ind w:firstLineChars="0" w:firstLine="0"/>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rsidR="00A74465" w:rsidRDefault="002379B6">
      <w:pPr>
        <w:pStyle w:val="a0"/>
        <w:ind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w:t>
      </w:r>
      <w:r>
        <w:rPr>
          <w:rFonts w:ascii="彩虹粗仿宋" w:eastAsia="彩虹粗仿宋" w:hAnsi="宋体" w:cs="Arial" w:hint="eastAsia"/>
          <w:sz w:val="24"/>
        </w:rPr>
        <w:lastRenderedPageBreak/>
        <w:t>定。如规定发生变化的，从其最新规定。</w:t>
      </w:r>
    </w:p>
    <w:p w:rsidR="00A74465" w:rsidRDefault="00A74465">
      <w:pPr>
        <w:pStyle w:val="a0"/>
        <w:ind w:firstLineChars="0" w:firstLine="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89" w:name="_Toc124325895"/>
      <w:r>
        <w:rPr>
          <w:rFonts w:ascii="彩虹粗仿宋" w:eastAsia="彩虹粗仿宋" w:hint="eastAsia"/>
          <w:sz w:val="30"/>
        </w:rPr>
        <w:t>十一、基金费用</w:t>
      </w:r>
      <w:bookmarkEnd w:id="89"/>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本基金基金财产中持有的基金管理人自身管理的其他基金部分不收取管理费。</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本基金的管理费按前一日基金资产净值扣除基金财产中持有的基金管理人自身管理的其他基金部分所对应资产净值后剩余部分的0.6</w:t>
      </w:r>
      <w:r w:rsidR="00C402A2">
        <w:rPr>
          <w:rFonts w:ascii="彩虹粗仿宋" w:eastAsia="彩虹粗仿宋" w:hAnsi="宋体" w:cs="Arial" w:hint="eastAsia"/>
          <w:sz w:val="24"/>
        </w:rPr>
        <w:t>0</w:t>
      </w:r>
      <w:r>
        <w:rPr>
          <w:rFonts w:ascii="彩虹粗仿宋" w:eastAsia="彩虹粗仿宋" w:hAnsi="宋体" w:cs="Arial" w:hint="eastAsia"/>
          <w:sz w:val="24"/>
        </w:rPr>
        <w:t>%年费率计提。管理费的计算方法如下：</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H＝E×0.6</w:t>
      </w:r>
      <w:r w:rsidR="00C402A2">
        <w:rPr>
          <w:rFonts w:ascii="彩虹粗仿宋" w:eastAsia="彩虹粗仿宋" w:hAnsi="宋体" w:cs="Arial" w:hint="eastAsia"/>
          <w:sz w:val="24"/>
        </w:rPr>
        <w:t>0</w:t>
      </w:r>
      <w:r>
        <w:rPr>
          <w:rFonts w:ascii="彩虹粗仿宋" w:eastAsia="彩虹粗仿宋" w:hAnsi="宋体" w:cs="Arial" w:hint="eastAsia"/>
          <w:sz w:val="24"/>
        </w:rPr>
        <w:t>%÷当年天数</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H为每日应计提的基金管理费</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E为前一日的基金资产净值扣除基金财产中持有的基金管理人自身管理的其他基金部分所对应资产净值后剩余部分，若为负数，则E取0。</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本基金基金财产中持有的基金托管人自身托管的其他基金部分不收取托管费。</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本基金的托管费按前一日基金资产净值扣除基金财产中持有的基金托管人自身托管的其他基金部分所对应资产净值后剩余部分的0.15%年费率计提。托管费的计算方法如下：</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H＝E×0.15%÷当年天数</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H为每日应计提的基金托管费</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E为前一日的基金资产净值扣除基金财产中持有的基金托管人自身托管的其他基金部分所对应资产净值后剩余部分，若为负数，则E取0。</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（三）基金销售服务费的计提比例和计提方法</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本基金A类基金份额不收取销售服务费，C类基金份额的销售服务费年费率为0.40%。</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C类基金份额的销售服务费按前一日C类基金份额基金资产净值的0.40%年费率计提，计算方法如下：</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H＝E×0.40%÷当年天数</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E为C类基金份额前一日基金资产净值</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（四）基金管理人运用本基金财产申购自身管理的基金的（ETF 除外），应当</w:t>
      </w:r>
      <w:r>
        <w:rPr>
          <w:rFonts w:ascii="彩虹粗仿宋" w:eastAsia="彩虹粗仿宋" w:hAnsi="宋体" w:cs="Arial" w:hint="eastAsia"/>
          <w:sz w:val="24"/>
        </w:rPr>
        <w:lastRenderedPageBreak/>
        <w:t>通过直销渠道申购且不得收取申购费、赎回费（按照相关法律法规、被投资基金招募说明书约定应当收取，并记入基金资产的赎回费用除外）、销售服务费等销售费用。</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的账户开户费用，账户维护费用、基金的证券交易费用、基金投资其他基金产生的相关费用、因投资港股通标的证券而产生的各项合理费用、基金的银行汇划费用、《基金合同》生效后与基金相关的信息披露费用、基金份额持有人大会费用、《基金合同》生效后与基金有关的会计师费、律师费、公证费、仲裁费和诉讼费等根据有关法律法规、《基金合同》及相应协议的规定，列入当期基金费用。</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（六）不列入基金费用的项目</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相关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（七）基金费用的复核程序、支付方式和时间</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基金托管人对基金管理人计提的基金管理费、基金托管费、基金销售服务费等，根据本托管协议和《基金合同》的有关规定进行复核。</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在首期支付基金管理费、销售服务费前，基金管理人应向托管人出具正式函件指定基金管理费、销售服务费的收款账户。基金管理人如需要变更此账户，应提前5个工作日向托管人出具书面的收款账户变更通知。</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（八）实施侧袋机制期间的基金费用</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（九）违规处理方式</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并及时通知基金管理人。</w:t>
      </w:r>
    </w:p>
    <w:p w:rsidR="00A74465" w:rsidRDefault="00A74465">
      <w:pPr>
        <w:adjustRightInd w:val="0"/>
        <w:snapToGrid w:val="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90" w:name="_Toc124325896"/>
      <w:r>
        <w:rPr>
          <w:rFonts w:ascii="彩虹粗仿宋" w:eastAsia="彩虹粗仿宋" w:hint="eastAsia"/>
          <w:sz w:val="30"/>
        </w:rPr>
        <w:t>十二、基金份额持有人名册的保管</w:t>
      </w:r>
      <w:bookmarkEnd w:id="90"/>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w:t>
      </w:r>
      <w:r>
        <w:rPr>
          <w:rFonts w:ascii="彩虹粗仿宋" w:eastAsia="彩虹粗仿宋" w:hAnsi="宋体" w:cs="Arial" w:hint="eastAsia"/>
          <w:sz w:val="24"/>
        </w:rPr>
        <w:lastRenderedPageBreak/>
        <w:t>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在基金托管人要求或编制中期报告和年报前，基金管理人应将有关资料送交基金托管人，不得无故拒绝或延误提供，并保证其真实性、准确性和完整性。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rsidR="00A74465" w:rsidRDefault="00A74465">
      <w:pPr>
        <w:adjustRightInd w:val="0"/>
        <w:snapToGrid w:val="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91" w:name="_Toc124325897"/>
      <w:r>
        <w:rPr>
          <w:rFonts w:ascii="彩虹粗仿宋" w:eastAsia="彩虹粗仿宋" w:hint="eastAsia"/>
          <w:sz w:val="30"/>
        </w:rPr>
        <w:t>十三、基金有关文件档案的保存</w:t>
      </w:r>
      <w:bookmarkEnd w:id="91"/>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1.基金管理人签署重大合同文本后，应及时将合同文本送达基金托管人处。</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rsidR="00A74465" w:rsidRDefault="002379B6">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（四）基金管理人和基金托管人应按各自职责完整保存原始凭证、记账凭证、基金账册、交易记录和重要合同等，承担保密义务并保存期限不低于法律法规规定的最低期限。</w:t>
      </w:r>
    </w:p>
    <w:p w:rsidR="00A74465" w:rsidRDefault="00A74465">
      <w:pPr>
        <w:adjustRightInd w:val="0"/>
        <w:snapToGrid w:val="0"/>
        <w:rPr>
          <w:rFonts w:ascii="彩虹粗仿宋" w:eastAsia="彩虹粗仿宋"/>
          <w:sz w:val="30"/>
          <w:szCs w:val="30"/>
        </w:rPr>
      </w:pPr>
    </w:p>
    <w:p w:rsidR="00A74465" w:rsidRDefault="002379B6">
      <w:pPr>
        <w:pStyle w:val="2"/>
        <w:jc w:val="center"/>
        <w:rPr>
          <w:rFonts w:ascii="彩虹粗仿宋" w:eastAsia="彩虹粗仿宋"/>
          <w:sz w:val="30"/>
        </w:rPr>
      </w:pPr>
      <w:bookmarkStart w:id="92" w:name="_Toc124325898"/>
      <w:r>
        <w:rPr>
          <w:rFonts w:ascii="彩虹粗仿宋" w:eastAsia="彩虹粗仿宋" w:hint="eastAsia"/>
          <w:sz w:val="30"/>
        </w:rPr>
        <w:t>十四、基金管理人和基金托管人的更换</w:t>
      </w:r>
      <w:bookmarkEnd w:id="92"/>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(1)被依法取消基金管理资格；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(5)公告：基金管理人更换后，由基金托管人在更换基金管理人的基金份额持有人大会决议生效后按规定在规定媒介公告；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(7)审计：基金管理人职责终止的，应当按照法律法规规定聘请符合《中华人民共和国证券法》规定的会计师事务所对基金财产进行审计，并将审计结果予以公告，同时报中国证监会备案，审计费由基金财产承担；</w:t>
      </w:r>
    </w:p>
    <w:p w:rsidR="00A74465" w:rsidRDefault="002379B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(1)提名：新任基金托管人由基金管理人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(5)公告：基金托管人更换后，由基金管理人在更换基金托管人的基金份额持有人大会决议生效后按规定在规定媒介公告；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(7)审计：基金托管人职责终止的，应当按照法律法规规定聘请符合《中华人民共和国证券法》规定的会计师事务所对基金财产进行审计，并将审计结果予以公告，同时报中国证监会备案，审计费由基金财产承担。</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3.公告：新任基金管理人和新任基金托管人应在更换基金管理人和基金托管人的基金份额持有人大会决议生效后按规定在规定媒介上联合公告。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依据法律法规和《基金合同》的规定继续履行相关职责，并保证不做出对基金份额持有人的利益造成损害的行为。原基金管理人或基金托管人在继续履行相关职责期间，仍有权按照《基金合同》的规定收取基金管理费或基金托管费。</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法律法规或监管规则修改导致相关内容被取消或变更的，基金管理人在履行适当程序后，可直接对相应内容进行修改和调整，无需召开基金份额持有人大会审议。</w:t>
      </w:r>
    </w:p>
    <w:p w:rsidR="00A74465" w:rsidRDefault="00A74465">
      <w:pPr>
        <w:adjustRightInd w:val="0"/>
        <w:snapToGrid w:val="0"/>
        <w:rPr>
          <w:rFonts w:ascii="彩虹粗仿宋" w:eastAsia="彩虹粗仿宋" w:hAnsi="宋体" w:cs="Arial"/>
          <w:sz w:val="24"/>
        </w:rPr>
      </w:pPr>
    </w:p>
    <w:p w:rsidR="00A74465" w:rsidRDefault="00A74465">
      <w:pPr>
        <w:adjustRightInd w:val="0"/>
        <w:snapToGrid w:val="0"/>
        <w:ind w:firstLineChars="200" w:firstLine="480"/>
        <w:rPr>
          <w:rFonts w:ascii="彩虹粗仿宋" w:eastAsia="彩虹粗仿宋" w:hAnsi="宋体" w:cs="Arial"/>
          <w:sz w:val="24"/>
        </w:rPr>
      </w:pPr>
    </w:p>
    <w:p w:rsidR="00A74465" w:rsidRDefault="00A74465">
      <w:pPr>
        <w:adjustRightInd w:val="0"/>
        <w:snapToGrid w:val="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93" w:name="_Toc124325899"/>
      <w:r>
        <w:rPr>
          <w:rFonts w:ascii="彩虹粗仿宋" w:eastAsia="彩虹粗仿宋" w:hint="eastAsia"/>
          <w:sz w:val="30"/>
        </w:rPr>
        <w:t>十五、禁止行为</w:t>
      </w:r>
      <w:bookmarkEnd w:id="93"/>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A74465" w:rsidRDefault="002379B6">
      <w:pPr>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rsidR="00A74465" w:rsidRDefault="002379B6">
      <w:pPr>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rsidR="00A74465" w:rsidRDefault="002379B6">
      <w:pPr>
        <w:ind w:firstLineChars="200" w:firstLine="480"/>
        <w:rPr>
          <w:rFonts w:ascii="彩虹粗仿宋" w:eastAsia="彩虹粗仿宋"/>
          <w:sz w:val="24"/>
        </w:rPr>
      </w:pPr>
      <w:r>
        <w:rPr>
          <w:rFonts w:ascii="彩虹粗仿宋" w:eastAsia="彩虹粗仿宋" w:hint="eastAsia"/>
          <w:sz w:val="24"/>
        </w:rPr>
        <w:t>（三）基金管理人、基金托管人利用基金财产或职务之便为基金份额持有人以外的人牟取利益。</w:t>
      </w:r>
    </w:p>
    <w:p w:rsidR="00A74465" w:rsidRDefault="002379B6">
      <w:pPr>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（五）基金管理人、基金托管人对他人泄露基金运作和管理过程中任何尚未按法律法规规定的方式公开披露的信息。</w:t>
      </w:r>
    </w:p>
    <w:p w:rsidR="00A74465" w:rsidRDefault="002379B6">
      <w:pPr>
        <w:pStyle w:val="a7"/>
        <w:spacing w:line="24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 其高级管理人员和其他从业人员相互兼职。</w:t>
      </w:r>
    </w:p>
    <w:p w:rsidR="00A74465" w:rsidRDefault="002379B6">
      <w:pPr>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A74465" w:rsidRDefault="002379B6">
      <w:pPr>
        <w:ind w:firstLineChars="200" w:firstLine="480"/>
        <w:rPr>
          <w:rFonts w:ascii="彩虹粗仿宋" w:eastAsia="彩虹粗仿宋" w:hAnsi="宋体" w:cs="Arial"/>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w:t>
      </w:r>
      <w:r>
        <w:rPr>
          <w:rFonts w:ascii="彩虹粗仿宋" w:eastAsia="彩虹粗仿宋" w:cs="Arial" w:hint="eastAsia"/>
          <w:sz w:val="24"/>
        </w:rPr>
        <w:t>法律法规或监管部门取消上述限制，如</w:t>
      </w:r>
      <w:r>
        <w:rPr>
          <w:rFonts w:ascii="彩虹粗仿宋" w:eastAsia="彩虹粗仿宋" w:cs="Arial" w:hint="eastAsia"/>
          <w:sz w:val="24"/>
        </w:rPr>
        <w:lastRenderedPageBreak/>
        <w:t>适用于本基金，则本基金投资不再受相关限制</w:t>
      </w:r>
      <w:r>
        <w:rPr>
          <w:rFonts w:ascii="彩虹粗仿宋" w:eastAsia="彩虹粗仿宋" w:hint="eastAsia"/>
          <w:sz w:val="24"/>
        </w:rPr>
        <w:t>。</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依照法律、行政法规有关规定，由国务院证券监督管理机构规定禁止基金管理人、基金托管人从事的其他行为。</w:t>
      </w:r>
    </w:p>
    <w:p w:rsidR="00A74465" w:rsidRDefault="00A74465">
      <w:pPr>
        <w:adjustRightInd w:val="0"/>
        <w:snapToGrid w:val="0"/>
        <w:rPr>
          <w:rFonts w:ascii="彩虹粗仿宋" w:eastAsia="彩虹粗仿宋"/>
          <w:sz w:val="30"/>
          <w:szCs w:val="30"/>
        </w:rPr>
      </w:pPr>
    </w:p>
    <w:p w:rsidR="00A74465" w:rsidRDefault="002379B6">
      <w:pPr>
        <w:pStyle w:val="2"/>
        <w:jc w:val="center"/>
        <w:rPr>
          <w:rFonts w:ascii="彩虹粗仿宋" w:eastAsia="彩虹粗仿宋"/>
          <w:sz w:val="30"/>
        </w:rPr>
      </w:pPr>
      <w:bookmarkStart w:id="94" w:name="_Toc124325900"/>
      <w:r>
        <w:rPr>
          <w:rFonts w:ascii="彩虹粗仿宋" w:eastAsia="彩虹粗仿宋" w:hint="eastAsia"/>
          <w:sz w:val="30"/>
        </w:rPr>
        <w:t>十六、托管协议的变更、终止与基金财产的清算</w:t>
      </w:r>
      <w:bookmarkEnd w:id="94"/>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rsidR="00A74465" w:rsidRDefault="002379B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本协议双方当事人经协商一致，可以对协议进行修改。修改后的新协议，其内容不得与《基金合同》的规定有任何冲突。履行适当程序后基金托管协议变更。</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(1)《基金合同》终止情形出现时，由基金财产清算小组统一接管基金财产；</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(5)聘请符合《中华人民共和国证券法》规定的会计师事务所对清算报告进行外部审计，聘请律师事务所对清算报告出具法律意见书；</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(7)对基金剩余财产进行分配。</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5.基金财产清算的期限为6个月，但因本基金所持证券或基金的流动性受到限制而不能及时变现的，清算期限相应顺延。</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依据基金财产清算的分配方案，将基金财产清算后的全部剩余资产扣除基金财产清算费用、交纳所欠税款并清偿基金债务后，按各类基金份额持有人持有的相应类别基金份额比例进行分配。</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基金财产清算账册及有关文件由基金托管人保存，保存期限不低于法律法规规定的最低期限。</w:t>
      </w:r>
    </w:p>
    <w:p w:rsidR="00A74465" w:rsidRDefault="00A74465">
      <w:pPr>
        <w:adjustRightInd w:val="0"/>
        <w:snapToGrid w:val="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95" w:name="_Toc124325901"/>
      <w:r>
        <w:rPr>
          <w:rFonts w:ascii="彩虹粗仿宋" w:eastAsia="彩虹粗仿宋" w:hint="eastAsia"/>
          <w:sz w:val="30"/>
        </w:rPr>
        <w:t>十七、违约责任</w:t>
      </w:r>
      <w:bookmarkEnd w:id="95"/>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1.不可抗力；</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2.基金管理人、基金托管人按照当时有效的法律法规、中国证监会的规定或市场交易规则作为或不作为而造成的损失等；</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A74465" w:rsidRDefault="002379B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因上述原因未能及时更正的，由此造成基金财产或投资人损失，基金管理人和基金托管人免除赔偿责任。但是基金管理人和基金托管人应积极采取必要的措施减轻或消除由此造成的影响。</w:t>
      </w:r>
    </w:p>
    <w:p w:rsidR="00A74465" w:rsidRDefault="00A74465">
      <w:pPr>
        <w:adjustRightInd w:val="0"/>
        <w:snapToGrid w:val="0"/>
        <w:outlineLvl w:val="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96" w:name="_Toc124325902"/>
      <w:r>
        <w:rPr>
          <w:rFonts w:ascii="彩虹粗仿宋" w:eastAsia="彩虹粗仿宋" w:hint="eastAsia"/>
          <w:sz w:val="30"/>
        </w:rPr>
        <w:t>十八、争议解决方式</w:t>
      </w:r>
      <w:bookmarkEnd w:id="96"/>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应当将争议提交中国国际经济贸易仲裁委员会，仲裁地点为北京市，按照中国国际经济贸易仲裁委员会届时有效的仲裁规则进行仲裁。仲裁裁决是终局的，对当事人均有约束力，仲裁费用由败诉方承担。</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本协议受中国法律（为本协议之目的，不包括香港、澳门特别行政区和台湾地区法律）管辖并从其解释。</w:t>
      </w:r>
    </w:p>
    <w:p w:rsidR="00A74465" w:rsidRDefault="00A74465">
      <w:pPr>
        <w:adjustRightInd w:val="0"/>
        <w:snapToGrid w:val="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97" w:name="_Toc124325903"/>
      <w:r>
        <w:rPr>
          <w:rFonts w:ascii="彩虹粗仿宋" w:eastAsia="彩虹粗仿宋" w:hint="eastAsia"/>
          <w:sz w:val="30"/>
        </w:rPr>
        <w:t>十九、托管协议的效力</w:t>
      </w:r>
      <w:bookmarkEnd w:id="97"/>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w:t>
      </w:r>
      <w:r>
        <w:rPr>
          <w:rFonts w:ascii="彩虹粗仿宋" w:eastAsia="彩虹粗仿宋" w:hAnsi="宋体" w:cs="Arial" w:hint="eastAsia"/>
          <w:sz w:val="24"/>
        </w:rPr>
        <w:lastRenderedPageBreak/>
        <w:t>应经托管协议当事人双方盖章以及双方法定代表人或授权代表签字（或盖章），协议当事人双方根据中国证监会的意见修改托管协议草案。托管协议以中国证监会注册的文本为正式文本。</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rsidR="00A74465" w:rsidRDefault="002379B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（四）本协议一式三份，协议双方各持一份，上报监管机构一份，每份具有同等的法律效力。</w:t>
      </w:r>
    </w:p>
    <w:p w:rsidR="00A74465" w:rsidRDefault="00A74465">
      <w:pPr>
        <w:adjustRightInd w:val="0"/>
        <w:snapToGrid w:val="0"/>
        <w:rPr>
          <w:rFonts w:ascii="彩虹粗仿宋" w:eastAsia="彩虹粗仿宋" w:hAnsi="宋体" w:cs="Arial"/>
          <w:sz w:val="24"/>
        </w:rPr>
      </w:pPr>
    </w:p>
    <w:p w:rsidR="00A74465" w:rsidRDefault="002379B6">
      <w:pPr>
        <w:pStyle w:val="2"/>
        <w:jc w:val="center"/>
        <w:rPr>
          <w:rFonts w:ascii="彩虹粗仿宋" w:eastAsia="彩虹粗仿宋"/>
          <w:sz w:val="30"/>
        </w:rPr>
      </w:pPr>
      <w:bookmarkStart w:id="98" w:name="_Toc124325904"/>
      <w:r>
        <w:rPr>
          <w:rFonts w:ascii="彩虹粗仿宋" w:eastAsia="彩虹粗仿宋" w:hint="eastAsia"/>
          <w:sz w:val="30"/>
        </w:rPr>
        <w:t>二十、其他事项</w:t>
      </w:r>
      <w:bookmarkEnd w:id="98"/>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本协议未尽事宜，当事人依据《基金合同》、有关法律法规等规定协商办理。</w:t>
      </w:r>
    </w:p>
    <w:p w:rsidR="00A74465" w:rsidRDefault="00A74465">
      <w:pPr>
        <w:adjustRightInd w:val="0"/>
        <w:snapToGrid w:val="0"/>
        <w:rPr>
          <w:rFonts w:ascii="彩虹粗仿宋" w:eastAsia="彩虹粗仿宋"/>
          <w:b/>
          <w:bCs/>
        </w:rPr>
      </w:pPr>
    </w:p>
    <w:p w:rsidR="00A74465" w:rsidRDefault="002379B6">
      <w:pPr>
        <w:pStyle w:val="2"/>
        <w:jc w:val="center"/>
        <w:rPr>
          <w:rFonts w:ascii="彩虹粗仿宋" w:eastAsia="彩虹粗仿宋"/>
          <w:sz w:val="30"/>
        </w:rPr>
      </w:pPr>
      <w:bookmarkStart w:id="99" w:name="_Toc124325905"/>
      <w:r>
        <w:rPr>
          <w:rFonts w:ascii="彩虹粗仿宋" w:eastAsia="彩虹粗仿宋" w:hint="eastAsia"/>
          <w:sz w:val="30"/>
        </w:rPr>
        <w:t>二十一、托管协议的签订</w:t>
      </w:r>
      <w:bookmarkEnd w:id="99"/>
    </w:p>
    <w:p w:rsidR="00A74465" w:rsidRDefault="002379B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rsidR="00A74465" w:rsidRDefault="00A74465" w:rsidP="00663699">
      <w:pPr>
        <w:spacing w:line="360" w:lineRule="auto"/>
        <w:ind w:right="26"/>
        <w:rPr>
          <w:rFonts w:hint="eastAsia"/>
        </w:rPr>
      </w:pPr>
      <w:bookmarkStart w:id="100" w:name="_GoBack"/>
      <w:bookmarkEnd w:id="100"/>
    </w:p>
    <w:sectPr w:rsidR="00A74465">
      <w:headerReference w:type="default" r:id="rId9"/>
      <w:foot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3F7" w:rsidRDefault="002463F7">
      <w:r>
        <w:separator/>
      </w:r>
    </w:p>
  </w:endnote>
  <w:endnote w:type="continuationSeparator" w:id="0">
    <w:p w:rsidR="002463F7" w:rsidRDefault="0024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微软雅黑"/>
    <w:charset w:val="86"/>
    <w:family w:val="auto"/>
    <w:pitch w:val="default"/>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彩虹粗仿宋">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65" w:rsidRDefault="002379B6">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74465" w:rsidRDefault="00A7446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65" w:rsidRDefault="002379B6">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2D4182">
      <w:rPr>
        <w:rStyle w:val="af"/>
        <w:noProof/>
      </w:rPr>
      <w:t>1</w:t>
    </w:r>
    <w:r>
      <w:rPr>
        <w:rStyle w:val="af"/>
      </w:rPr>
      <w:fldChar w:fldCharType="end"/>
    </w:r>
  </w:p>
  <w:p w:rsidR="00A74465" w:rsidRDefault="00A7446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65" w:rsidRDefault="00A744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3F7" w:rsidRDefault="002463F7">
      <w:r>
        <w:separator/>
      </w:r>
    </w:p>
  </w:footnote>
  <w:footnote w:type="continuationSeparator" w:id="0">
    <w:p w:rsidR="002463F7" w:rsidRDefault="00246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65" w:rsidRDefault="00A7446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jViNThhODhhMWM4MmVjMTM3NGQxYWU5OWEzZjgifQ=="/>
  </w:docVars>
  <w:rsids>
    <w:rsidRoot w:val="001E5E2F"/>
    <w:rsid w:val="00002E75"/>
    <w:rsid w:val="000224DE"/>
    <w:rsid w:val="00025B51"/>
    <w:rsid w:val="00026C9A"/>
    <w:rsid w:val="0004180F"/>
    <w:rsid w:val="00045CA9"/>
    <w:rsid w:val="00054A33"/>
    <w:rsid w:val="00054BBA"/>
    <w:rsid w:val="00063E4E"/>
    <w:rsid w:val="00080F24"/>
    <w:rsid w:val="00086E6F"/>
    <w:rsid w:val="00086EDE"/>
    <w:rsid w:val="000A5779"/>
    <w:rsid w:val="000B1F42"/>
    <w:rsid w:val="000B77F0"/>
    <w:rsid w:val="000C5533"/>
    <w:rsid w:val="000D0442"/>
    <w:rsid w:val="000D1AC9"/>
    <w:rsid w:val="000D7F94"/>
    <w:rsid w:val="000E5BFC"/>
    <w:rsid w:val="00100EBE"/>
    <w:rsid w:val="001169DA"/>
    <w:rsid w:val="0012010B"/>
    <w:rsid w:val="001307A8"/>
    <w:rsid w:val="00130904"/>
    <w:rsid w:val="0013106F"/>
    <w:rsid w:val="001421AE"/>
    <w:rsid w:val="00143DE8"/>
    <w:rsid w:val="0014554A"/>
    <w:rsid w:val="00170E45"/>
    <w:rsid w:val="00197210"/>
    <w:rsid w:val="001A7BDD"/>
    <w:rsid w:val="001B2C83"/>
    <w:rsid w:val="001C39E1"/>
    <w:rsid w:val="001E5A58"/>
    <w:rsid w:val="001E5E2F"/>
    <w:rsid w:val="001E60EC"/>
    <w:rsid w:val="001F1F3C"/>
    <w:rsid w:val="001F4569"/>
    <w:rsid w:val="00204CDD"/>
    <w:rsid w:val="00212BD2"/>
    <w:rsid w:val="0021652C"/>
    <w:rsid w:val="0022265F"/>
    <w:rsid w:val="0022409C"/>
    <w:rsid w:val="002245C8"/>
    <w:rsid w:val="002379B6"/>
    <w:rsid w:val="002437C1"/>
    <w:rsid w:val="002463F7"/>
    <w:rsid w:val="00246C1B"/>
    <w:rsid w:val="002572B6"/>
    <w:rsid w:val="002701E6"/>
    <w:rsid w:val="00271D55"/>
    <w:rsid w:val="00281380"/>
    <w:rsid w:val="00285D78"/>
    <w:rsid w:val="002924E9"/>
    <w:rsid w:val="00294257"/>
    <w:rsid w:val="002A12F9"/>
    <w:rsid w:val="002A256F"/>
    <w:rsid w:val="002A7715"/>
    <w:rsid w:val="002B5A42"/>
    <w:rsid w:val="002D4182"/>
    <w:rsid w:val="002D49EA"/>
    <w:rsid w:val="002D4D37"/>
    <w:rsid w:val="002D5340"/>
    <w:rsid w:val="002E2AAE"/>
    <w:rsid w:val="002E7669"/>
    <w:rsid w:val="002F144D"/>
    <w:rsid w:val="002F5E1B"/>
    <w:rsid w:val="00300E35"/>
    <w:rsid w:val="0031022C"/>
    <w:rsid w:val="00317F57"/>
    <w:rsid w:val="00335FF7"/>
    <w:rsid w:val="00343391"/>
    <w:rsid w:val="00357119"/>
    <w:rsid w:val="00372434"/>
    <w:rsid w:val="00372A13"/>
    <w:rsid w:val="00382FC0"/>
    <w:rsid w:val="00385362"/>
    <w:rsid w:val="00393666"/>
    <w:rsid w:val="0039617A"/>
    <w:rsid w:val="0039710D"/>
    <w:rsid w:val="003B0A88"/>
    <w:rsid w:val="003B18EC"/>
    <w:rsid w:val="003C79C1"/>
    <w:rsid w:val="003D6BEC"/>
    <w:rsid w:val="003E070D"/>
    <w:rsid w:val="003E5E3F"/>
    <w:rsid w:val="003F1E2E"/>
    <w:rsid w:val="003F56C7"/>
    <w:rsid w:val="003F7AFA"/>
    <w:rsid w:val="00404D4F"/>
    <w:rsid w:val="00406D02"/>
    <w:rsid w:val="00415E42"/>
    <w:rsid w:val="0041725B"/>
    <w:rsid w:val="0042379F"/>
    <w:rsid w:val="00433158"/>
    <w:rsid w:val="00450EB8"/>
    <w:rsid w:val="00472FAA"/>
    <w:rsid w:val="00474B69"/>
    <w:rsid w:val="00481D11"/>
    <w:rsid w:val="004A7ED9"/>
    <w:rsid w:val="004B5623"/>
    <w:rsid w:val="004C0788"/>
    <w:rsid w:val="004D13C8"/>
    <w:rsid w:val="004D1D5B"/>
    <w:rsid w:val="004D3D5D"/>
    <w:rsid w:val="004D4128"/>
    <w:rsid w:val="004E1620"/>
    <w:rsid w:val="004E2B22"/>
    <w:rsid w:val="004F4518"/>
    <w:rsid w:val="00502BE2"/>
    <w:rsid w:val="0050785D"/>
    <w:rsid w:val="00510878"/>
    <w:rsid w:val="00511D6D"/>
    <w:rsid w:val="00525CE8"/>
    <w:rsid w:val="0052727F"/>
    <w:rsid w:val="00544943"/>
    <w:rsid w:val="00545105"/>
    <w:rsid w:val="00555472"/>
    <w:rsid w:val="0055564E"/>
    <w:rsid w:val="00556CBB"/>
    <w:rsid w:val="005607D5"/>
    <w:rsid w:val="00571F88"/>
    <w:rsid w:val="00573328"/>
    <w:rsid w:val="0057442A"/>
    <w:rsid w:val="00577B09"/>
    <w:rsid w:val="005900A8"/>
    <w:rsid w:val="005A13E4"/>
    <w:rsid w:val="005A2BF1"/>
    <w:rsid w:val="005A5F62"/>
    <w:rsid w:val="005B55A7"/>
    <w:rsid w:val="005B7B5D"/>
    <w:rsid w:val="005C4459"/>
    <w:rsid w:val="005C789F"/>
    <w:rsid w:val="005D1AD5"/>
    <w:rsid w:val="005D1E9B"/>
    <w:rsid w:val="005D5C67"/>
    <w:rsid w:val="005E111C"/>
    <w:rsid w:val="005E183B"/>
    <w:rsid w:val="005E27E6"/>
    <w:rsid w:val="005E2979"/>
    <w:rsid w:val="005E6A95"/>
    <w:rsid w:val="005F2534"/>
    <w:rsid w:val="005F3500"/>
    <w:rsid w:val="00603545"/>
    <w:rsid w:val="00612235"/>
    <w:rsid w:val="006150C5"/>
    <w:rsid w:val="006221C5"/>
    <w:rsid w:val="0063381A"/>
    <w:rsid w:val="006372CB"/>
    <w:rsid w:val="00641760"/>
    <w:rsid w:val="00646F14"/>
    <w:rsid w:val="0065540A"/>
    <w:rsid w:val="00663699"/>
    <w:rsid w:val="00663FC4"/>
    <w:rsid w:val="0067146C"/>
    <w:rsid w:val="0067228B"/>
    <w:rsid w:val="006905E4"/>
    <w:rsid w:val="006A15A7"/>
    <w:rsid w:val="006A31F3"/>
    <w:rsid w:val="006B3CF4"/>
    <w:rsid w:val="006B6E60"/>
    <w:rsid w:val="006C02D0"/>
    <w:rsid w:val="006C279C"/>
    <w:rsid w:val="006C2800"/>
    <w:rsid w:val="006D0F6A"/>
    <w:rsid w:val="006D45FD"/>
    <w:rsid w:val="006D7776"/>
    <w:rsid w:val="006E5561"/>
    <w:rsid w:val="006E6FC7"/>
    <w:rsid w:val="006F32DD"/>
    <w:rsid w:val="006F37FE"/>
    <w:rsid w:val="006F4DD4"/>
    <w:rsid w:val="006F593C"/>
    <w:rsid w:val="00713A01"/>
    <w:rsid w:val="00713C94"/>
    <w:rsid w:val="00720D5F"/>
    <w:rsid w:val="007271EC"/>
    <w:rsid w:val="00731070"/>
    <w:rsid w:val="007320D4"/>
    <w:rsid w:val="0074058D"/>
    <w:rsid w:val="00753901"/>
    <w:rsid w:val="00780F16"/>
    <w:rsid w:val="00792D84"/>
    <w:rsid w:val="007A0D30"/>
    <w:rsid w:val="007A0D6B"/>
    <w:rsid w:val="007A166D"/>
    <w:rsid w:val="007B19F3"/>
    <w:rsid w:val="007B5BC7"/>
    <w:rsid w:val="007E3375"/>
    <w:rsid w:val="007E5B58"/>
    <w:rsid w:val="007E78A2"/>
    <w:rsid w:val="008002C1"/>
    <w:rsid w:val="00826A52"/>
    <w:rsid w:val="00844222"/>
    <w:rsid w:val="00846988"/>
    <w:rsid w:val="00855321"/>
    <w:rsid w:val="00855A92"/>
    <w:rsid w:val="00860F98"/>
    <w:rsid w:val="00873661"/>
    <w:rsid w:val="008829D6"/>
    <w:rsid w:val="008B2B8F"/>
    <w:rsid w:val="008C0CE4"/>
    <w:rsid w:val="008C25D2"/>
    <w:rsid w:val="008C2EEC"/>
    <w:rsid w:val="008C57FB"/>
    <w:rsid w:val="008D3449"/>
    <w:rsid w:val="008D433E"/>
    <w:rsid w:val="008E4E6E"/>
    <w:rsid w:val="00903B65"/>
    <w:rsid w:val="00904C3F"/>
    <w:rsid w:val="009145E7"/>
    <w:rsid w:val="0091570E"/>
    <w:rsid w:val="009214B2"/>
    <w:rsid w:val="009240A1"/>
    <w:rsid w:val="0092568A"/>
    <w:rsid w:val="009271F7"/>
    <w:rsid w:val="0093283D"/>
    <w:rsid w:val="00935F6F"/>
    <w:rsid w:val="00946276"/>
    <w:rsid w:val="009558AA"/>
    <w:rsid w:val="00981150"/>
    <w:rsid w:val="009829EF"/>
    <w:rsid w:val="00990506"/>
    <w:rsid w:val="009B1255"/>
    <w:rsid w:val="009B3F58"/>
    <w:rsid w:val="009B45F8"/>
    <w:rsid w:val="009B50CB"/>
    <w:rsid w:val="009C1EA0"/>
    <w:rsid w:val="009D6624"/>
    <w:rsid w:val="009E29AB"/>
    <w:rsid w:val="00A220CB"/>
    <w:rsid w:val="00A31325"/>
    <w:rsid w:val="00A33EDE"/>
    <w:rsid w:val="00A34503"/>
    <w:rsid w:val="00A3661F"/>
    <w:rsid w:val="00A373E2"/>
    <w:rsid w:val="00A4622F"/>
    <w:rsid w:val="00A51A2A"/>
    <w:rsid w:val="00A548FF"/>
    <w:rsid w:val="00A56DE7"/>
    <w:rsid w:val="00A609A4"/>
    <w:rsid w:val="00A65ACF"/>
    <w:rsid w:val="00A72A24"/>
    <w:rsid w:val="00A73023"/>
    <w:rsid w:val="00A74465"/>
    <w:rsid w:val="00A74756"/>
    <w:rsid w:val="00A844B6"/>
    <w:rsid w:val="00A874F2"/>
    <w:rsid w:val="00A9188A"/>
    <w:rsid w:val="00A92DFC"/>
    <w:rsid w:val="00AA19E2"/>
    <w:rsid w:val="00AA1F9B"/>
    <w:rsid w:val="00AA2F76"/>
    <w:rsid w:val="00AD1E1A"/>
    <w:rsid w:val="00AD3B26"/>
    <w:rsid w:val="00AD5C7E"/>
    <w:rsid w:val="00AD6A66"/>
    <w:rsid w:val="00AE1193"/>
    <w:rsid w:val="00AE24EC"/>
    <w:rsid w:val="00AE4BF2"/>
    <w:rsid w:val="00B05EC8"/>
    <w:rsid w:val="00B0777C"/>
    <w:rsid w:val="00B12F3E"/>
    <w:rsid w:val="00B24A93"/>
    <w:rsid w:val="00B26E13"/>
    <w:rsid w:val="00B3437D"/>
    <w:rsid w:val="00B34583"/>
    <w:rsid w:val="00B53FC1"/>
    <w:rsid w:val="00B57D6C"/>
    <w:rsid w:val="00B67F0F"/>
    <w:rsid w:val="00B7333D"/>
    <w:rsid w:val="00B917B0"/>
    <w:rsid w:val="00B95222"/>
    <w:rsid w:val="00B977EC"/>
    <w:rsid w:val="00BA6646"/>
    <w:rsid w:val="00BB70B0"/>
    <w:rsid w:val="00BC7724"/>
    <w:rsid w:val="00BD089C"/>
    <w:rsid w:val="00BD497D"/>
    <w:rsid w:val="00BE0F97"/>
    <w:rsid w:val="00BF0E86"/>
    <w:rsid w:val="00C02F3C"/>
    <w:rsid w:val="00C16863"/>
    <w:rsid w:val="00C32319"/>
    <w:rsid w:val="00C402A2"/>
    <w:rsid w:val="00C52754"/>
    <w:rsid w:val="00C54744"/>
    <w:rsid w:val="00C61943"/>
    <w:rsid w:val="00C63A0F"/>
    <w:rsid w:val="00C667B5"/>
    <w:rsid w:val="00C729E2"/>
    <w:rsid w:val="00C74705"/>
    <w:rsid w:val="00C75AF7"/>
    <w:rsid w:val="00C75D0F"/>
    <w:rsid w:val="00C81ED7"/>
    <w:rsid w:val="00C826CA"/>
    <w:rsid w:val="00C828C3"/>
    <w:rsid w:val="00C90B03"/>
    <w:rsid w:val="00C91AD6"/>
    <w:rsid w:val="00C964CD"/>
    <w:rsid w:val="00CA52A7"/>
    <w:rsid w:val="00CA7F9F"/>
    <w:rsid w:val="00CB061A"/>
    <w:rsid w:val="00CB6849"/>
    <w:rsid w:val="00CC4B89"/>
    <w:rsid w:val="00CD3ABA"/>
    <w:rsid w:val="00CE2E0D"/>
    <w:rsid w:val="00CE5B87"/>
    <w:rsid w:val="00CF1DC1"/>
    <w:rsid w:val="00D01109"/>
    <w:rsid w:val="00D02A77"/>
    <w:rsid w:val="00D02C8B"/>
    <w:rsid w:val="00D067F9"/>
    <w:rsid w:val="00D33989"/>
    <w:rsid w:val="00D35F6D"/>
    <w:rsid w:val="00D37A28"/>
    <w:rsid w:val="00D37D81"/>
    <w:rsid w:val="00D529DF"/>
    <w:rsid w:val="00D65088"/>
    <w:rsid w:val="00D7179E"/>
    <w:rsid w:val="00D768FC"/>
    <w:rsid w:val="00D81456"/>
    <w:rsid w:val="00D8147D"/>
    <w:rsid w:val="00D909F6"/>
    <w:rsid w:val="00D934A9"/>
    <w:rsid w:val="00D94AF6"/>
    <w:rsid w:val="00D96FF6"/>
    <w:rsid w:val="00DA23E4"/>
    <w:rsid w:val="00DA73C4"/>
    <w:rsid w:val="00DB004D"/>
    <w:rsid w:val="00DB36EA"/>
    <w:rsid w:val="00DB68AB"/>
    <w:rsid w:val="00DD2A2A"/>
    <w:rsid w:val="00DE51C5"/>
    <w:rsid w:val="00DE5785"/>
    <w:rsid w:val="00DF3F82"/>
    <w:rsid w:val="00DF738E"/>
    <w:rsid w:val="00E00F1F"/>
    <w:rsid w:val="00E0420F"/>
    <w:rsid w:val="00E0716D"/>
    <w:rsid w:val="00E1225A"/>
    <w:rsid w:val="00E1431B"/>
    <w:rsid w:val="00E23C86"/>
    <w:rsid w:val="00E2428D"/>
    <w:rsid w:val="00E36563"/>
    <w:rsid w:val="00E41239"/>
    <w:rsid w:val="00E42C04"/>
    <w:rsid w:val="00E44D9A"/>
    <w:rsid w:val="00E45F0D"/>
    <w:rsid w:val="00E72E9F"/>
    <w:rsid w:val="00E77A30"/>
    <w:rsid w:val="00E80D85"/>
    <w:rsid w:val="00E837E2"/>
    <w:rsid w:val="00E95FFF"/>
    <w:rsid w:val="00E96063"/>
    <w:rsid w:val="00EA2517"/>
    <w:rsid w:val="00EA3F35"/>
    <w:rsid w:val="00EA421B"/>
    <w:rsid w:val="00EC14AE"/>
    <w:rsid w:val="00EC267A"/>
    <w:rsid w:val="00EC3A3F"/>
    <w:rsid w:val="00EC565A"/>
    <w:rsid w:val="00ED0495"/>
    <w:rsid w:val="00EE6D18"/>
    <w:rsid w:val="00EE6F7E"/>
    <w:rsid w:val="00EF1B79"/>
    <w:rsid w:val="00F3204D"/>
    <w:rsid w:val="00F32B45"/>
    <w:rsid w:val="00F50514"/>
    <w:rsid w:val="00F54148"/>
    <w:rsid w:val="00F549F9"/>
    <w:rsid w:val="00F55F95"/>
    <w:rsid w:val="00F76DC2"/>
    <w:rsid w:val="00F84DBB"/>
    <w:rsid w:val="00F85219"/>
    <w:rsid w:val="00F9613B"/>
    <w:rsid w:val="00FC5CC4"/>
    <w:rsid w:val="00FD0F29"/>
    <w:rsid w:val="00FE3D7E"/>
    <w:rsid w:val="00FE4A85"/>
    <w:rsid w:val="00FE548E"/>
    <w:rsid w:val="00FF3E29"/>
    <w:rsid w:val="00FF63F1"/>
    <w:rsid w:val="00FF7AFC"/>
    <w:rsid w:val="15ED5569"/>
    <w:rsid w:val="25E30419"/>
    <w:rsid w:val="47F40EB3"/>
    <w:rsid w:val="49AD5280"/>
    <w:rsid w:val="4AEA4D1B"/>
    <w:rsid w:val="53A32127"/>
    <w:rsid w:val="63AB38E5"/>
    <w:rsid w:val="68121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E9D306-D3D0-4F93-8BCC-EBA6BBC1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unhideWhenUsed="1"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iPriority="0" w:unhideWhenUsed="1" w:qFormat="1"/>
    <w:lsdException w:name="FollowedHyperlink" w:semiHidden="1" w:unhideWhenUsed="1" w:qFormat="1"/>
    <w:lsdException w:name="Strong" w:uiPriority="0"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Document Map"/>
    <w:basedOn w:val="a"/>
    <w:link w:val="Char"/>
    <w:qFormat/>
    <w:pPr>
      <w:shd w:val="clear" w:color="auto" w:fill="000080"/>
    </w:pPr>
    <w:rPr>
      <w:szCs w:val="20"/>
    </w:rPr>
  </w:style>
  <w:style w:type="paragraph" w:styleId="a5">
    <w:name w:val="annotation text"/>
    <w:basedOn w:val="a"/>
    <w:link w:val="Char0"/>
    <w:uiPriority w:val="99"/>
    <w:qFormat/>
    <w:pPr>
      <w:jc w:val="left"/>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annotation subject"/>
    <w:basedOn w:val="a5"/>
    <w:next w:val="a5"/>
    <w:link w:val="Char6"/>
    <w:qFormat/>
    <w:rPr>
      <w:b/>
      <w:bCs/>
    </w:rPr>
  </w:style>
  <w:style w:type="table" w:styleId="ad">
    <w:name w:val="Table Grid"/>
    <w:uiPriority w:val="3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cs="Times New Roman"/>
      <w:szCs w:val="22"/>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FollowedHyperlink"/>
    <w:basedOn w:val="a1"/>
    <w:uiPriority w:val="99"/>
    <w:semiHidden/>
    <w:unhideWhenUsed/>
    <w:qFormat/>
    <w:rPr>
      <w:color w:val="800080" w:themeColor="followedHyperlink"/>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Char5">
    <w:name w:val="页眉 Char"/>
    <w:basedOn w:val="a1"/>
    <w:link w:val="aa"/>
    <w:uiPriority w:val="99"/>
    <w:qFormat/>
    <w:rPr>
      <w:sz w:val="18"/>
      <w:szCs w:val="18"/>
    </w:rPr>
  </w:style>
  <w:style w:type="character" w:customStyle="1" w:styleId="Char4">
    <w:name w:val="页脚 Char"/>
    <w:basedOn w:val="a1"/>
    <w:link w:val="a9"/>
    <w:uiPriority w:val="99"/>
    <w:qFormat/>
    <w:rPr>
      <w:sz w:val="18"/>
      <w:szCs w:val="18"/>
    </w:rPr>
  </w:style>
  <w:style w:type="character" w:customStyle="1" w:styleId="2Char">
    <w:name w:val="标题 2 Char"/>
    <w:basedOn w:val="a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
    <w:name w:val="正文文本 Char"/>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2">
    <w:name w:val="正文文本缩进 Char"/>
    <w:basedOn w:val="a1"/>
    <w:link w:val="a7"/>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7">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0">
    <w:name w:val="批注文字 Char"/>
    <w:basedOn w:val="a1"/>
    <w:link w:val="a5"/>
    <w:uiPriority w:val="99"/>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6">
    <w:name w:val="批注主题 Char"/>
    <w:basedOn w:val="Char0"/>
    <w:link w:val="ac"/>
    <w:qFormat/>
    <w:rPr>
      <w:rFonts w:ascii="Times New Roman" w:eastAsia="宋体" w:hAnsi="Times New Roman" w:cs="Times New Roman"/>
      <w:b/>
      <w:bCs/>
      <w:szCs w:val="24"/>
    </w:rPr>
  </w:style>
  <w:style w:type="paragraph" w:customStyle="1" w:styleId="Style47">
    <w:name w:val="_Style 47"/>
    <w:uiPriority w:val="99"/>
    <w:unhideWhenUsed/>
    <w:qFormat/>
    <w:pPr>
      <w:widowControl w:val="0"/>
      <w:jc w:val="both"/>
    </w:pPr>
    <w:rPr>
      <w:rFonts w:ascii="Times New Roman" w:eastAsia="宋体" w:hAnsi="Times New Roman" w:cs="Times New Roman"/>
      <w:kern w:val="2"/>
      <w:sz w:val="21"/>
      <w:szCs w:val="24"/>
    </w:rPr>
  </w:style>
  <w:style w:type="paragraph" w:customStyle="1" w:styleId="10">
    <w:name w:val="修订1"/>
    <w:hidden/>
    <w:uiPriority w:val="99"/>
    <w:semiHidden/>
    <w:qFormat/>
    <w:rPr>
      <w:rFonts w:ascii="Times New Roman" w:eastAsia="宋体" w:hAnsi="Times New Roman" w:cs="Times New Roman"/>
      <w:kern w:val="2"/>
      <w:sz w:val="21"/>
      <w:szCs w:val="24"/>
    </w:rPr>
  </w:style>
  <w:style w:type="paragraph" w:customStyle="1" w:styleId="22">
    <w:name w:val="修订2"/>
    <w:hidden/>
    <w:uiPriority w:val="99"/>
    <w:semiHidden/>
    <w:qFormat/>
    <w:rPr>
      <w:rFonts w:ascii="Times New Roman" w:eastAsia="宋体" w:hAnsi="Times New Roman" w:cs="Times New Roman"/>
      <w:kern w:val="2"/>
      <w:sz w:val="21"/>
      <w:szCs w:val="24"/>
    </w:rPr>
  </w:style>
  <w:style w:type="character" w:customStyle="1" w:styleId="Char">
    <w:name w:val="文档结构图 Char"/>
    <w:basedOn w:val="a1"/>
    <w:link w:val="a4"/>
    <w:qFormat/>
    <w:rPr>
      <w:rFonts w:ascii="Times New Roman" w:eastAsia="宋体" w:hAnsi="Times New Roman" w:cs="Times New Roman"/>
      <w:kern w:val="2"/>
      <w:sz w:val="21"/>
      <w:shd w:val="clear" w:color="auto" w:fill="000080"/>
    </w:rPr>
  </w:style>
  <w:style w:type="paragraph" w:customStyle="1" w:styleId="31">
    <w:name w:val="修订3"/>
    <w:hidden/>
    <w:uiPriority w:val="99"/>
    <w:unhideWhenUsed/>
    <w:qFormat/>
    <w:rPr>
      <w:rFonts w:ascii="Times New Roman" w:eastAsia="宋体" w:hAnsi="Times New Roman" w:cs="Times New Roman"/>
      <w:kern w:val="2"/>
      <w:sz w:val="21"/>
      <w:szCs w:val="24"/>
    </w:rPr>
  </w:style>
  <w:style w:type="paragraph" w:customStyle="1" w:styleId="40">
    <w:name w:val="修订4"/>
    <w:hidden/>
    <w:uiPriority w:val="99"/>
    <w:semiHidden/>
    <w:qFormat/>
    <w:rPr>
      <w:rFonts w:ascii="Times New Roman" w:eastAsia="宋体" w:hAnsi="Times New Roman" w:cs="Times New Roman"/>
      <w:kern w:val="2"/>
      <w:sz w:val="21"/>
      <w:szCs w:val="24"/>
    </w:rPr>
  </w:style>
  <w:style w:type="paragraph" w:styleId="af3">
    <w:name w:val="List Paragraph"/>
    <w:basedOn w:val="a"/>
    <w:uiPriority w:val="34"/>
    <w:qFormat/>
    <w:pPr>
      <w:widowControl/>
      <w:pBdr>
        <w:top w:val="none" w:sz="0" w:space="0" w:color="000000"/>
        <w:left w:val="none" w:sz="0" w:space="0" w:color="000000"/>
        <w:bottom w:val="none" w:sz="0" w:space="0" w:color="000000"/>
        <w:right w:val="none" w:sz="0" w:space="0" w:color="000000"/>
        <w:between w:val="none" w:sz="0" w:space="0" w:color="000000"/>
      </w:pBdr>
      <w:ind w:firstLine="420"/>
      <w:jc w:val="left"/>
    </w:pPr>
    <w:rPr>
      <w:rFonts w:ascii="Calibri" w:hAnsi="Calibri"/>
      <w:kern w:val="0"/>
      <w:sz w:val="20"/>
      <w:szCs w:val="22"/>
      <w:lang w:eastAsia="en-US" w:bidi="en-US"/>
    </w:rPr>
  </w:style>
  <w:style w:type="paragraph" w:customStyle="1" w:styleId="50">
    <w:name w:val="修订5"/>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6199F-E501-464E-88A8-7AF94C16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40</Pages>
  <Words>17039</Words>
  <Characters>17210</Characters>
  <Application>Microsoft Office Word</Application>
  <DocSecurity>0</DocSecurity>
  <Lines>717</Lines>
  <Paragraphs>671</Paragraphs>
  <ScaleCrop>false</ScaleCrop>
  <Company>神州网信技术有限公司</Company>
  <LinksUpToDate>false</LinksUpToDate>
  <CharactersWithSpaces>33578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孙婧</dc:creator>
  <cp:lastModifiedBy>张博洋</cp:lastModifiedBy>
  <cp:revision>61</cp:revision>
  <dcterms:created xsi:type="dcterms:W3CDTF">2025-05-13T08:17:00Z</dcterms:created>
  <dcterms:modified xsi:type="dcterms:W3CDTF">2025-11-03T06:15:00Z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D42F544E14D14B6990D039F3FC7EFBCC</vt:lpwstr>
  </property>
  <property fmtid="{D5CDD505-2E9C-101B-9397-08002B2CF9AE}" pid="4" name="GrammarlyDocumentId">
    <vt:lpwstr>b65e020e-3c38-4dab-837e-89cf9ca8f921</vt:lpwstr>
  </property>
</Properties>
</file>